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Default Extension="tiff" ContentType="image/tif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5666" w:rsidRPr="00736A5E" w:rsidRDefault="00745666" w:rsidP="00736A5E">
      <w:pPr>
        <w:pStyle w:val="Heading1"/>
      </w:pPr>
      <w:r w:rsidRPr="00736A5E">
        <w:t>Performance Lab:</w:t>
      </w:r>
    </w:p>
    <w:p w:rsidR="0068481F" w:rsidRDefault="0068481F" w:rsidP="00745666">
      <w:pPr>
        <w:ind w:left="450"/>
        <w:rPr>
          <w:rFonts w:ascii="ArialMT" w:eastAsia="Times New Roman" w:hAnsi="ArialMT" w:cs="ArialMT"/>
          <w:b/>
          <w:iCs/>
          <w:color w:val="000000"/>
        </w:rPr>
      </w:pPr>
      <w:r>
        <w:rPr>
          <w:rFonts w:ascii="ArialMT" w:eastAsia="Times New Roman" w:hAnsi="ArialMT" w:cs="ArialMT"/>
          <w:b/>
          <w:iCs/>
          <w:color w:val="000000"/>
        </w:rPr>
        <w:t>Human Immune Monitoring Center</w:t>
      </w:r>
    </w:p>
    <w:p w:rsidR="0068481F" w:rsidRDefault="0068481F" w:rsidP="00745666">
      <w:pPr>
        <w:ind w:left="450"/>
        <w:rPr>
          <w:rFonts w:ascii="ArialMT" w:eastAsia="Times New Roman" w:hAnsi="ArialMT" w:cs="ArialMT"/>
          <w:b/>
          <w:iCs/>
          <w:color w:val="000000"/>
        </w:rPr>
      </w:pPr>
      <w:r>
        <w:rPr>
          <w:rFonts w:ascii="ArialMT" w:eastAsia="Times New Roman" w:hAnsi="ArialMT" w:cs="ArialMT"/>
          <w:b/>
          <w:iCs/>
          <w:color w:val="000000"/>
        </w:rPr>
        <w:t xml:space="preserve">Holden T. </w:t>
      </w:r>
      <w:proofErr w:type="spellStart"/>
      <w:r>
        <w:rPr>
          <w:rFonts w:ascii="ArialMT" w:eastAsia="Times New Roman" w:hAnsi="ArialMT" w:cs="ArialMT"/>
          <w:b/>
          <w:iCs/>
          <w:color w:val="000000"/>
        </w:rPr>
        <w:t>Maecker</w:t>
      </w:r>
      <w:proofErr w:type="spellEnd"/>
      <w:r>
        <w:rPr>
          <w:rFonts w:ascii="ArialMT" w:eastAsia="Times New Roman" w:hAnsi="ArialMT" w:cs="ArialMT"/>
          <w:b/>
          <w:iCs/>
          <w:color w:val="000000"/>
        </w:rPr>
        <w:t>, PhD, Director</w:t>
      </w:r>
    </w:p>
    <w:p w:rsidR="0068481F" w:rsidRPr="0068481F" w:rsidRDefault="0068481F" w:rsidP="00745666">
      <w:pPr>
        <w:ind w:left="450"/>
        <w:rPr>
          <w:rFonts w:ascii="Times New Roman" w:eastAsia="Times New Roman" w:hAnsi="Times New Roman" w:cs="Times New Roman"/>
          <w:b/>
        </w:rPr>
      </w:pPr>
      <w:r>
        <w:rPr>
          <w:rFonts w:ascii="ArialMT" w:eastAsia="Times New Roman" w:hAnsi="ArialMT" w:cs="ArialMT"/>
          <w:b/>
          <w:iCs/>
          <w:color w:val="000000"/>
        </w:rPr>
        <w:t>1651 Page Mill Road, Palo Alto, CA  94304</w:t>
      </w:r>
    </w:p>
    <w:p w:rsidR="00722C00" w:rsidRPr="000F52E1" w:rsidRDefault="00722C00" w:rsidP="000F52E1">
      <w:pPr>
        <w:rPr>
          <w:rFonts w:ascii="Arial" w:eastAsia="Times New Roman" w:hAnsi="Arial" w:cs="Arial"/>
          <w:sz w:val="22"/>
          <w:szCs w:val="22"/>
        </w:rPr>
      </w:pPr>
    </w:p>
    <w:p w:rsidR="006902ED" w:rsidRPr="00E72F74" w:rsidRDefault="006902ED" w:rsidP="00736A5E">
      <w:pPr>
        <w:pStyle w:val="Heading1"/>
      </w:pPr>
      <w:r w:rsidRPr="00E72F74">
        <w:t xml:space="preserve">Table 1.  Summary of analytical validation findings for </w:t>
      </w:r>
      <w:r w:rsidR="003E349F">
        <w:t xml:space="preserve">single-cell </w:t>
      </w:r>
      <w:proofErr w:type="spellStart"/>
      <w:r w:rsidR="003E349F">
        <w:t>TCRseq</w:t>
      </w:r>
      <w:proofErr w:type="spellEnd"/>
      <w:r w:rsidR="00F92075" w:rsidRPr="00E72F74">
        <w:t xml:space="preserve"> </w:t>
      </w:r>
    </w:p>
    <w:p w:rsidR="008F3ACC" w:rsidRPr="00E72F74" w:rsidRDefault="008F3ACC">
      <w:pPr>
        <w:rPr>
          <w:rFonts w:ascii="Arial" w:hAnsi="Arial" w:cs="Arial"/>
        </w:rPr>
      </w:pPr>
    </w:p>
    <w:tbl>
      <w:tblPr>
        <w:tblStyle w:val="TableGrid"/>
        <w:tblW w:w="0" w:type="auto"/>
        <w:tblLook w:val="04A0"/>
      </w:tblPr>
      <w:tblGrid>
        <w:gridCol w:w="2785"/>
        <w:gridCol w:w="6565"/>
      </w:tblGrid>
      <w:tr w:rsidR="00A22F16" w:rsidRPr="00E72F74" w:rsidTr="007050E5">
        <w:trPr>
          <w:trHeight w:val="440"/>
        </w:trPr>
        <w:tc>
          <w:tcPr>
            <w:tcW w:w="2785" w:type="dxa"/>
            <w:shd w:val="clear" w:color="auto" w:fill="D9E2F3" w:themeFill="accent1" w:themeFillTint="33"/>
          </w:tcPr>
          <w:p w:rsidR="00A22F16" w:rsidRPr="00E72F74" w:rsidRDefault="00A22F16">
            <w:pPr>
              <w:rPr>
                <w:rFonts w:ascii="Arial" w:hAnsi="Arial" w:cs="Arial"/>
                <w:b/>
              </w:rPr>
            </w:pPr>
            <w:r w:rsidRPr="00E72F74">
              <w:rPr>
                <w:rFonts w:ascii="Arial" w:hAnsi="Arial" w:cs="Arial"/>
                <w:b/>
              </w:rPr>
              <w:t>Accuracy</w:t>
            </w:r>
          </w:p>
        </w:tc>
        <w:tc>
          <w:tcPr>
            <w:tcW w:w="6565" w:type="dxa"/>
          </w:tcPr>
          <w:p w:rsidR="00A22F16" w:rsidRDefault="00762550">
            <w:pPr>
              <w:rPr>
                <w:rFonts w:ascii="Arial" w:hAnsi="Arial" w:cs="Arial"/>
              </w:rPr>
            </w:pPr>
            <w:r>
              <w:rPr>
                <w:rFonts w:ascii="Arial" w:hAnsi="Arial" w:cs="Arial"/>
              </w:rPr>
              <w:t xml:space="preserve">For TCR: equivalent to sequencing accuracy, </w:t>
            </w:r>
            <w:r w:rsidR="00FA6AAE">
              <w:rPr>
                <w:rFonts w:ascii="Arial" w:hAnsi="Arial" w:cs="Arial"/>
              </w:rPr>
              <w:t>(</w:t>
            </w:r>
            <w:r w:rsidRPr="003E296A">
              <w:rPr>
                <w:rFonts w:ascii="Arial" w:hAnsi="Arial" w:cs="Arial"/>
                <w:color w:val="C00000"/>
              </w:rPr>
              <w:t>p</w:t>
            </w:r>
            <w:r w:rsidR="007707AD" w:rsidRPr="003E296A">
              <w:rPr>
                <w:rFonts w:ascii="Arial" w:hAnsi="Arial" w:cs="Arial"/>
                <w:color w:val="C00000"/>
              </w:rPr>
              <w:t>age</w:t>
            </w:r>
            <w:r w:rsidRPr="003E296A">
              <w:rPr>
                <w:rFonts w:ascii="Arial" w:hAnsi="Arial" w:cs="Arial"/>
                <w:color w:val="C00000"/>
              </w:rPr>
              <w:t xml:space="preserve"> </w:t>
            </w:r>
            <w:r w:rsidR="00543622" w:rsidRPr="003E296A">
              <w:rPr>
                <w:rFonts w:ascii="Arial" w:hAnsi="Arial" w:cs="Arial"/>
                <w:color w:val="C00000"/>
              </w:rPr>
              <w:t>4</w:t>
            </w:r>
            <w:r w:rsidR="00FA6AAE" w:rsidRPr="00FA6AAE">
              <w:rPr>
                <w:rFonts w:ascii="Arial" w:hAnsi="Arial" w:cs="Arial"/>
                <w:color w:val="000000" w:themeColor="text1"/>
              </w:rPr>
              <w:t>)</w:t>
            </w:r>
            <w:r>
              <w:rPr>
                <w:rFonts w:ascii="Arial" w:hAnsi="Arial" w:cs="Arial"/>
              </w:rPr>
              <w:t>.</w:t>
            </w:r>
          </w:p>
          <w:p w:rsidR="00762550" w:rsidRDefault="00762550">
            <w:pPr>
              <w:rPr>
                <w:rFonts w:ascii="Arial" w:hAnsi="Arial" w:cs="Arial"/>
              </w:rPr>
            </w:pPr>
            <w:r>
              <w:rPr>
                <w:rFonts w:ascii="Arial" w:hAnsi="Arial" w:cs="Arial"/>
              </w:rPr>
              <w:t xml:space="preserve">For </w:t>
            </w:r>
            <w:proofErr w:type="spellStart"/>
            <w:r>
              <w:rPr>
                <w:rFonts w:ascii="Arial" w:hAnsi="Arial" w:cs="Arial"/>
              </w:rPr>
              <w:t>phenotyping</w:t>
            </w:r>
            <w:proofErr w:type="spellEnd"/>
            <w:r>
              <w:rPr>
                <w:rFonts w:ascii="Arial" w:hAnsi="Arial" w:cs="Arial"/>
              </w:rPr>
              <w:t xml:space="preserve"> genes:  qualitative accuracy based on expected canonical gene expression</w:t>
            </w:r>
            <w:r w:rsidR="007707AD">
              <w:rPr>
                <w:rFonts w:ascii="Arial" w:hAnsi="Arial" w:cs="Arial"/>
              </w:rPr>
              <w:t>, (</w:t>
            </w:r>
            <w:r w:rsidR="007707AD" w:rsidRPr="003E296A">
              <w:rPr>
                <w:rFonts w:ascii="Arial" w:hAnsi="Arial" w:cs="Arial"/>
                <w:color w:val="C00000"/>
              </w:rPr>
              <w:t>page</w:t>
            </w:r>
            <w:r w:rsidRPr="003E296A">
              <w:rPr>
                <w:rFonts w:ascii="Arial" w:hAnsi="Arial" w:cs="Arial"/>
                <w:color w:val="C00000"/>
              </w:rPr>
              <w:t xml:space="preserve"> </w:t>
            </w:r>
            <w:r w:rsidR="005D12BB" w:rsidRPr="003E296A">
              <w:rPr>
                <w:rFonts w:ascii="Arial" w:hAnsi="Arial" w:cs="Arial"/>
                <w:color w:val="C00000"/>
              </w:rPr>
              <w:t>4</w:t>
            </w:r>
            <w:r w:rsidR="007707AD">
              <w:rPr>
                <w:rFonts w:ascii="Arial" w:hAnsi="Arial" w:cs="Arial"/>
              </w:rPr>
              <w:t xml:space="preserve">, </w:t>
            </w:r>
            <w:r w:rsidRPr="00762550">
              <w:rPr>
                <w:rFonts w:ascii="Arial" w:hAnsi="Arial" w:cs="Arial"/>
                <w:b/>
              </w:rPr>
              <w:t>Figure 3</w:t>
            </w:r>
            <w:r>
              <w:rPr>
                <w:rFonts w:ascii="Arial" w:hAnsi="Arial" w:cs="Arial"/>
              </w:rPr>
              <w:t>)</w:t>
            </w:r>
            <w:r w:rsidR="00740914">
              <w:rPr>
                <w:rFonts w:ascii="Arial" w:hAnsi="Arial" w:cs="Arial"/>
              </w:rPr>
              <w:t xml:space="preserve"> (n=48 wells)</w:t>
            </w:r>
          </w:p>
          <w:p w:rsidR="00A6751B" w:rsidRPr="00E72F74" w:rsidRDefault="00A6751B">
            <w:pPr>
              <w:rPr>
                <w:rFonts w:ascii="Arial" w:hAnsi="Arial" w:cs="Arial"/>
              </w:rPr>
            </w:pPr>
          </w:p>
        </w:tc>
      </w:tr>
      <w:tr w:rsidR="00A22F16" w:rsidRPr="00E72F74" w:rsidTr="007050E5">
        <w:trPr>
          <w:trHeight w:val="440"/>
        </w:trPr>
        <w:tc>
          <w:tcPr>
            <w:tcW w:w="2785" w:type="dxa"/>
            <w:shd w:val="clear" w:color="auto" w:fill="D9E2F3" w:themeFill="accent1" w:themeFillTint="33"/>
          </w:tcPr>
          <w:p w:rsidR="00A22F16" w:rsidRPr="00E72F74" w:rsidRDefault="00A22F16">
            <w:pPr>
              <w:rPr>
                <w:rFonts w:ascii="Arial" w:hAnsi="Arial" w:cs="Arial"/>
                <w:b/>
              </w:rPr>
            </w:pPr>
            <w:r w:rsidRPr="00E72F74">
              <w:rPr>
                <w:rFonts w:ascii="Arial" w:hAnsi="Arial" w:cs="Arial"/>
                <w:b/>
              </w:rPr>
              <w:t>Precision: Inter-assay</w:t>
            </w:r>
          </w:p>
        </w:tc>
        <w:tc>
          <w:tcPr>
            <w:tcW w:w="6565" w:type="dxa"/>
          </w:tcPr>
          <w:p w:rsidR="00A22F16" w:rsidRDefault="00057510">
            <w:pPr>
              <w:rPr>
                <w:rFonts w:ascii="Arial" w:hAnsi="Arial" w:cs="Arial"/>
              </w:rPr>
            </w:pPr>
            <w:r>
              <w:rPr>
                <w:rFonts w:ascii="Arial" w:hAnsi="Arial" w:cs="Arial"/>
              </w:rPr>
              <w:t>&lt;</w:t>
            </w:r>
            <w:r w:rsidR="00A6751B">
              <w:rPr>
                <w:rFonts w:ascii="Arial" w:hAnsi="Arial" w:cs="Arial"/>
              </w:rPr>
              <w:t>5</w:t>
            </w:r>
            <w:r>
              <w:rPr>
                <w:rFonts w:ascii="Arial" w:hAnsi="Arial" w:cs="Arial"/>
              </w:rPr>
              <w:t xml:space="preserve">% CV for </w:t>
            </w:r>
            <w:proofErr w:type="spellStart"/>
            <w:r>
              <w:rPr>
                <w:rFonts w:ascii="Arial" w:hAnsi="Arial" w:cs="Arial"/>
              </w:rPr>
              <w:t>TCRalpha</w:t>
            </w:r>
            <w:proofErr w:type="spellEnd"/>
            <w:r w:rsidR="00A6751B">
              <w:rPr>
                <w:rFonts w:ascii="Arial" w:hAnsi="Arial" w:cs="Arial"/>
              </w:rPr>
              <w:t xml:space="preserve"> call rate in repeated P2-P3 runs</w:t>
            </w:r>
            <w:r w:rsidR="00740914">
              <w:rPr>
                <w:rFonts w:ascii="Arial" w:hAnsi="Arial" w:cs="Arial"/>
              </w:rPr>
              <w:t xml:space="preserve"> (n=4 plates or 384 wells)</w:t>
            </w:r>
            <w:r w:rsidR="00A6751B">
              <w:rPr>
                <w:rFonts w:ascii="Arial" w:hAnsi="Arial" w:cs="Arial"/>
              </w:rPr>
              <w:t xml:space="preserve">; &lt;2% CV for </w:t>
            </w:r>
            <w:proofErr w:type="spellStart"/>
            <w:r w:rsidR="00A6751B">
              <w:rPr>
                <w:rFonts w:ascii="Arial" w:hAnsi="Arial" w:cs="Arial"/>
              </w:rPr>
              <w:t>TCRbeta</w:t>
            </w:r>
            <w:proofErr w:type="spellEnd"/>
            <w:r w:rsidR="00A6751B">
              <w:rPr>
                <w:rFonts w:ascii="Arial" w:hAnsi="Arial" w:cs="Arial"/>
              </w:rPr>
              <w:t xml:space="preserve"> call rate in repeated P2-P3 runs</w:t>
            </w:r>
            <w:r w:rsidR="00740914">
              <w:rPr>
                <w:rFonts w:ascii="Arial" w:hAnsi="Arial" w:cs="Arial"/>
              </w:rPr>
              <w:t xml:space="preserve"> (n=4 plates or 384 wells);</w:t>
            </w:r>
            <w:r w:rsidR="00FA6AAE">
              <w:rPr>
                <w:rFonts w:ascii="Arial" w:hAnsi="Arial" w:cs="Arial"/>
              </w:rPr>
              <w:t xml:space="preserve"> call rates of 50-90% between projects</w:t>
            </w:r>
            <w:r w:rsidR="00E207B1">
              <w:rPr>
                <w:rFonts w:ascii="Arial" w:hAnsi="Arial" w:cs="Arial"/>
              </w:rPr>
              <w:t xml:space="preserve"> (</w:t>
            </w:r>
            <w:r w:rsidR="00E207B1" w:rsidRPr="003E296A">
              <w:rPr>
                <w:rFonts w:ascii="Arial" w:hAnsi="Arial" w:cs="Arial"/>
                <w:color w:val="C00000"/>
              </w:rPr>
              <w:t>p</w:t>
            </w:r>
            <w:r w:rsidR="007707AD" w:rsidRPr="003E296A">
              <w:rPr>
                <w:rFonts w:ascii="Arial" w:hAnsi="Arial" w:cs="Arial"/>
                <w:color w:val="C00000"/>
              </w:rPr>
              <w:t>age</w:t>
            </w:r>
            <w:r w:rsidR="00E207B1" w:rsidRPr="003E296A">
              <w:rPr>
                <w:rFonts w:ascii="Arial" w:hAnsi="Arial" w:cs="Arial"/>
                <w:color w:val="C00000"/>
              </w:rPr>
              <w:t xml:space="preserve"> </w:t>
            </w:r>
            <w:r w:rsidR="00543622" w:rsidRPr="003E296A">
              <w:rPr>
                <w:rFonts w:ascii="Arial" w:hAnsi="Arial" w:cs="Arial"/>
                <w:color w:val="C00000"/>
              </w:rPr>
              <w:t>6</w:t>
            </w:r>
            <w:r w:rsidR="009C102F" w:rsidRPr="009C102F">
              <w:rPr>
                <w:rFonts w:ascii="Arial" w:hAnsi="Arial" w:cs="Arial"/>
                <w:color w:val="000000" w:themeColor="text1"/>
              </w:rPr>
              <w:t>,</w:t>
            </w:r>
            <w:r w:rsidR="00FA6AAE">
              <w:rPr>
                <w:rFonts w:ascii="Arial" w:hAnsi="Arial" w:cs="Arial"/>
                <w:color w:val="000000" w:themeColor="text1"/>
              </w:rPr>
              <w:t xml:space="preserve"> </w:t>
            </w:r>
            <w:r w:rsidR="009C102F" w:rsidRPr="009C102F">
              <w:rPr>
                <w:rFonts w:ascii="Arial" w:hAnsi="Arial" w:cs="Arial"/>
                <w:b/>
                <w:color w:val="000000" w:themeColor="text1"/>
              </w:rPr>
              <w:t xml:space="preserve">Figure </w:t>
            </w:r>
            <w:r w:rsidR="00FA6AAE">
              <w:rPr>
                <w:rFonts w:ascii="Arial" w:hAnsi="Arial" w:cs="Arial"/>
                <w:b/>
                <w:color w:val="000000" w:themeColor="text1"/>
              </w:rPr>
              <w:t>4</w:t>
            </w:r>
            <w:r w:rsidR="00E207B1">
              <w:rPr>
                <w:rFonts w:ascii="Arial" w:hAnsi="Arial" w:cs="Arial"/>
              </w:rPr>
              <w:t>)</w:t>
            </w:r>
            <w:r w:rsidR="00740914">
              <w:rPr>
                <w:rFonts w:ascii="Arial" w:hAnsi="Arial" w:cs="Arial"/>
              </w:rPr>
              <w:t xml:space="preserve"> (n=12 plates or 1152 wells)</w:t>
            </w:r>
          </w:p>
          <w:p w:rsidR="00A6751B" w:rsidRPr="00E72F74" w:rsidRDefault="00A6751B">
            <w:pPr>
              <w:rPr>
                <w:rFonts w:ascii="Arial" w:hAnsi="Arial" w:cs="Arial"/>
              </w:rPr>
            </w:pPr>
          </w:p>
        </w:tc>
      </w:tr>
      <w:tr w:rsidR="00A22F16" w:rsidRPr="00E72F74" w:rsidTr="007050E5">
        <w:trPr>
          <w:trHeight w:val="449"/>
        </w:trPr>
        <w:tc>
          <w:tcPr>
            <w:tcW w:w="2785" w:type="dxa"/>
            <w:shd w:val="clear" w:color="auto" w:fill="D9E2F3" w:themeFill="accent1" w:themeFillTint="33"/>
          </w:tcPr>
          <w:p w:rsidR="00A22F16" w:rsidRPr="00E72F74" w:rsidRDefault="00A22F16">
            <w:pPr>
              <w:rPr>
                <w:rFonts w:ascii="Arial" w:hAnsi="Arial" w:cs="Arial"/>
                <w:b/>
              </w:rPr>
            </w:pPr>
            <w:r w:rsidRPr="00E72F74">
              <w:rPr>
                <w:rFonts w:ascii="Arial" w:hAnsi="Arial" w:cs="Arial"/>
                <w:b/>
              </w:rPr>
              <w:t>Precision:  Intra-assay</w:t>
            </w:r>
          </w:p>
        </w:tc>
        <w:tc>
          <w:tcPr>
            <w:tcW w:w="6565" w:type="dxa"/>
          </w:tcPr>
          <w:p w:rsidR="004021B3" w:rsidRPr="00E72F74" w:rsidRDefault="009C102F" w:rsidP="007707AD">
            <w:pPr>
              <w:rPr>
                <w:rFonts w:ascii="Arial" w:hAnsi="Arial" w:cs="Arial"/>
              </w:rPr>
            </w:pPr>
            <w:r>
              <w:rPr>
                <w:rFonts w:ascii="Arial" w:hAnsi="Arial" w:cs="Arial"/>
              </w:rPr>
              <w:t xml:space="preserve">1% CV for total </w:t>
            </w:r>
            <w:proofErr w:type="spellStart"/>
            <w:r>
              <w:rPr>
                <w:rFonts w:ascii="Arial" w:hAnsi="Arial" w:cs="Arial"/>
              </w:rPr>
              <w:t>phenotyping</w:t>
            </w:r>
            <w:proofErr w:type="spellEnd"/>
            <w:r>
              <w:rPr>
                <w:rFonts w:ascii="Arial" w:hAnsi="Arial" w:cs="Arial"/>
              </w:rPr>
              <w:t xml:space="preserve"> gene calls (</w:t>
            </w:r>
            <w:r w:rsidRPr="003E296A">
              <w:rPr>
                <w:rFonts w:ascii="Arial" w:hAnsi="Arial" w:cs="Arial"/>
                <w:color w:val="C00000"/>
              </w:rPr>
              <w:t xml:space="preserve">page </w:t>
            </w:r>
            <w:r w:rsidR="00543622" w:rsidRPr="003E296A">
              <w:rPr>
                <w:rFonts w:ascii="Arial" w:hAnsi="Arial" w:cs="Arial"/>
                <w:color w:val="C00000"/>
              </w:rPr>
              <w:t>7</w:t>
            </w:r>
            <w:r>
              <w:rPr>
                <w:rFonts w:ascii="Arial" w:hAnsi="Arial" w:cs="Arial"/>
              </w:rPr>
              <w:t xml:space="preserve">, </w:t>
            </w:r>
            <w:r w:rsidRPr="009C102F">
              <w:rPr>
                <w:rFonts w:ascii="Arial" w:hAnsi="Arial" w:cs="Arial"/>
                <w:b/>
              </w:rPr>
              <w:t>Figure 5</w:t>
            </w:r>
            <w:r>
              <w:rPr>
                <w:rFonts w:ascii="Arial" w:hAnsi="Arial" w:cs="Arial"/>
              </w:rPr>
              <w:t>)</w:t>
            </w:r>
            <w:r w:rsidR="00740914">
              <w:rPr>
                <w:rFonts w:ascii="Arial" w:hAnsi="Arial" w:cs="Arial"/>
              </w:rPr>
              <w:t xml:space="preserve"> (n=2 plates or 192 wells)</w:t>
            </w:r>
          </w:p>
        </w:tc>
      </w:tr>
      <w:tr w:rsidR="00A22F16" w:rsidRPr="00E72F74" w:rsidTr="007050E5">
        <w:trPr>
          <w:trHeight w:val="440"/>
        </w:trPr>
        <w:tc>
          <w:tcPr>
            <w:tcW w:w="2785" w:type="dxa"/>
            <w:shd w:val="clear" w:color="auto" w:fill="D9E2F3" w:themeFill="accent1" w:themeFillTint="33"/>
          </w:tcPr>
          <w:p w:rsidR="00A22F16" w:rsidRPr="00E72F74" w:rsidRDefault="00A22F16">
            <w:pPr>
              <w:rPr>
                <w:rFonts w:ascii="Arial" w:hAnsi="Arial" w:cs="Arial"/>
                <w:b/>
              </w:rPr>
            </w:pPr>
            <w:r w:rsidRPr="00E72F74">
              <w:rPr>
                <w:rFonts w:ascii="Arial" w:hAnsi="Arial" w:cs="Arial"/>
                <w:b/>
              </w:rPr>
              <w:t>Analytical sensitivity</w:t>
            </w:r>
          </w:p>
        </w:tc>
        <w:tc>
          <w:tcPr>
            <w:tcW w:w="6565" w:type="dxa"/>
          </w:tcPr>
          <w:p w:rsidR="00FA0F42" w:rsidRPr="00061DBB" w:rsidRDefault="00407627" w:rsidP="00395E8E">
            <w:pPr>
              <w:rPr>
                <w:rFonts w:ascii="Arial" w:hAnsi="Arial" w:cs="Arial"/>
              </w:rPr>
            </w:pPr>
            <w:r w:rsidRPr="00061DBB">
              <w:rPr>
                <w:rFonts w:ascii="Arial" w:hAnsi="Arial" w:cs="Arial"/>
              </w:rPr>
              <w:t>Approximately 70% call rate for TCR genes from single sorted cells</w:t>
            </w:r>
            <w:r w:rsidR="00180CCD" w:rsidRPr="00061DBB">
              <w:rPr>
                <w:rFonts w:ascii="Arial" w:hAnsi="Arial" w:cs="Arial"/>
              </w:rPr>
              <w:t xml:space="preserve"> (see </w:t>
            </w:r>
            <w:r w:rsidR="00180CCD" w:rsidRPr="00061DBB">
              <w:rPr>
                <w:rFonts w:ascii="Arial" w:hAnsi="Arial" w:cs="Arial"/>
                <w:b/>
              </w:rPr>
              <w:t xml:space="preserve">Table </w:t>
            </w:r>
            <w:r w:rsidR="00A6751B" w:rsidRPr="00061DBB">
              <w:rPr>
                <w:rFonts w:ascii="Arial" w:hAnsi="Arial" w:cs="Arial"/>
                <w:b/>
              </w:rPr>
              <w:t>3</w:t>
            </w:r>
            <w:r w:rsidR="00180CCD" w:rsidRPr="00061DBB">
              <w:rPr>
                <w:rFonts w:ascii="Arial" w:hAnsi="Arial" w:cs="Arial"/>
              </w:rPr>
              <w:t xml:space="preserve"> below)</w:t>
            </w:r>
            <w:r w:rsidR="00740914">
              <w:rPr>
                <w:rFonts w:ascii="Arial" w:hAnsi="Arial" w:cs="Arial"/>
              </w:rPr>
              <w:t xml:space="preserve"> (n=8 plates or 768 wells)</w:t>
            </w:r>
          </w:p>
          <w:p w:rsidR="004021B3" w:rsidRPr="00061DBB" w:rsidRDefault="004021B3" w:rsidP="00395E8E">
            <w:pPr>
              <w:rPr>
                <w:rFonts w:ascii="Arial" w:hAnsi="Arial" w:cs="Arial"/>
              </w:rPr>
            </w:pPr>
          </w:p>
        </w:tc>
      </w:tr>
      <w:tr w:rsidR="00A22F16" w:rsidRPr="00E72F74" w:rsidTr="007050E5">
        <w:trPr>
          <w:trHeight w:val="971"/>
        </w:trPr>
        <w:tc>
          <w:tcPr>
            <w:tcW w:w="2785" w:type="dxa"/>
            <w:shd w:val="clear" w:color="auto" w:fill="D9E2F3" w:themeFill="accent1" w:themeFillTint="33"/>
          </w:tcPr>
          <w:p w:rsidR="00A22F16" w:rsidRPr="00E72F74" w:rsidRDefault="00A22F16">
            <w:pPr>
              <w:rPr>
                <w:rFonts w:ascii="Arial" w:hAnsi="Arial" w:cs="Arial"/>
                <w:b/>
              </w:rPr>
            </w:pPr>
            <w:r w:rsidRPr="00E72F74">
              <w:rPr>
                <w:rFonts w:ascii="Arial" w:hAnsi="Arial" w:cs="Arial"/>
                <w:b/>
              </w:rPr>
              <w:t>Analytical specificity including interfering substances</w:t>
            </w:r>
          </w:p>
        </w:tc>
        <w:tc>
          <w:tcPr>
            <w:tcW w:w="6565" w:type="dxa"/>
          </w:tcPr>
          <w:p w:rsidR="00A22F16" w:rsidRPr="00E72F74" w:rsidRDefault="00BB568F">
            <w:pPr>
              <w:rPr>
                <w:rFonts w:ascii="Arial" w:hAnsi="Arial" w:cs="Arial"/>
              </w:rPr>
            </w:pPr>
            <w:r>
              <w:rPr>
                <w:rFonts w:ascii="Arial" w:hAnsi="Arial" w:cs="Arial"/>
              </w:rPr>
              <w:t>94-100% for expected CDR3a</w:t>
            </w:r>
            <w:r w:rsidR="00061DBB">
              <w:rPr>
                <w:rFonts w:ascii="Arial" w:hAnsi="Arial" w:cs="Arial"/>
              </w:rPr>
              <w:t>lpha</w:t>
            </w:r>
            <w:r>
              <w:rPr>
                <w:rFonts w:ascii="Arial" w:hAnsi="Arial" w:cs="Arial"/>
              </w:rPr>
              <w:t xml:space="preserve"> and CDR3b</w:t>
            </w:r>
            <w:r w:rsidR="00061DBB">
              <w:rPr>
                <w:rFonts w:ascii="Arial" w:hAnsi="Arial" w:cs="Arial"/>
              </w:rPr>
              <w:t>eta</w:t>
            </w:r>
            <w:r>
              <w:rPr>
                <w:rFonts w:ascii="Arial" w:hAnsi="Arial" w:cs="Arial"/>
              </w:rPr>
              <w:t xml:space="preserve"> regions from two T cell clones </w:t>
            </w:r>
            <w:r w:rsidRPr="003E296A">
              <w:rPr>
                <w:rFonts w:ascii="Arial" w:hAnsi="Arial" w:cs="Arial"/>
                <w:color w:val="C00000"/>
              </w:rPr>
              <w:t>(</w:t>
            </w:r>
            <w:r w:rsidR="00FA6AAE" w:rsidRPr="003E296A">
              <w:rPr>
                <w:rFonts w:ascii="Arial" w:hAnsi="Arial" w:cs="Arial"/>
                <w:color w:val="C00000"/>
              </w:rPr>
              <w:t xml:space="preserve">page </w:t>
            </w:r>
            <w:r w:rsidR="00543622" w:rsidRPr="003E296A">
              <w:rPr>
                <w:rFonts w:ascii="Arial" w:hAnsi="Arial" w:cs="Arial"/>
                <w:color w:val="C00000"/>
              </w:rPr>
              <w:t>8</w:t>
            </w:r>
            <w:r w:rsidR="00FA6AAE">
              <w:rPr>
                <w:rFonts w:ascii="Arial" w:hAnsi="Arial" w:cs="Arial"/>
              </w:rPr>
              <w:t xml:space="preserve">, </w:t>
            </w:r>
            <w:r>
              <w:rPr>
                <w:rFonts w:ascii="Arial" w:hAnsi="Arial" w:cs="Arial"/>
              </w:rPr>
              <w:t xml:space="preserve"> </w:t>
            </w:r>
            <w:r w:rsidRPr="00BB568F">
              <w:rPr>
                <w:rFonts w:ascii="Arial" w:hAnsi="Arial" w:cs="Arial"/>
                <w:b/>
              </w:rPr>
              <w:t xml:space="preserve">Figure </w:t>
            </w:r>
            <w:r w:rsidR="00FA6AAE">
              <w:rPr>
                <w:rFonts w:ascii="Arial" w:hAnsi="Arial" w:cs="Arial"/>
                <w:b/>
              </w:rPr>
              <w:t>6</w:t>
            </w:r>
            <w:r w:rsidR="00180CCD">
              <w:rPr>
                <w:rFonts w:ascii="Arial" w:hAnsi="Arial" w:cs="Arial"/>
              </w:rPr>
              <w:t>)</w:t>
            </w:r>
            <w:r w:rsidR="00740914">
              <w:rPr>
                <w:rFonts w:ascii="Arial" w:hAnsi="Arial" w:cs="Arial"/>
              </w:rPr>
              <w:t xml:space="preserve"> (n=4 plates or 384 wells)</w:t>
            </w:r>
          </w:p>
        </w:tc>
      </w:tr>
      <w:tr w:rsidR="00A22F16" w:rsidRPr="00E72F74" w:rsidTr="007050E5">
        <w:trPr>
          <w:trHeight w:val="440"/>
        </w:trPr>
        <w:tc>
          <w:tcPr>
            <w:tcW w:w="2785" w:type="dxa"/>
            <w:shd w:val="clear" w:color="auto" w:fill="D9E2F3" w:themeFill="accent1" w:themeFillTint="33"/>
          </w:tcPr>
          <w:p w:rsidR="00A22F16" w:rsidRPr="00E72F74" w:rsidRDefault="00A22F16">
            <w:pPr>
              <w:rPr>
                <w:rFonts w:ascii="Arial" w:hAnsi="Arial" w:cs="Arial"/>
                <w:b/>
              </w:rPr>
            </w:pPr>
            <w:r w:rsidRPr="00E72F74">
              <w:rPr>
                <w:rFonts w:ascii="Arial" w:hAnsi="Arial" w:cs="Arial"/>
                <w:b/>
              </w:rPr>
              <w:t>Reportable range</w:t>
            </w:r>
          </w:p>
        </w:tc>
        <w:tc>
          <w:tcPr>
            <w:tcW w:w="6565" w:type="dxa"/>
          </w:tcPr>
          <w:p w:rsidR="00A22F16" w:rsidRDefault="002D00B2">
            <w:pPr>
              <w:rPr>
                <w:rFonts w:ascii="Arial" w:hAnsi="Arial" w:cs="Arial"/>
              </w:rPr>
            </w:pPr>
            <w:r>
              <w:rPr>
                <w:rFonts w:ascii="Arial" w:hAnsi="Arial" w:cs="Arial"/>
              </w:rPr>
              <w:t xml:space="preserve">&gt;2 reads for </w:t>
            </w:r>
            <w:proofErr w:type="spellStart"/>
            <w:r>
              <w:rPr>
                <w:rFonts w:ascii="Arial" w:hAnsi="Arial" w:cs="Arial"/>
              </w:rPr>
              <w:t>phenotyping</w:t>
            </w:r>
            <w:proofErr w:type="spellEnd"/>
            <w:r>
              <w:rPr>
                <w:rFonts w:ascii="Arial" w:hAnsi="Arial" w:cs="Arial"/>
              </w:rPr>
              <w:t xml:space="preserve"> genes; &gt;20 reads with &gt;80% concordance for TCR V region calls</w:t>
            </w:r>
          </w:p>
          <w:p w:rsidR="004021B3" w:rsidRPr="00E72F74" w:rsidRDefault="004021B3">
            <w:pPr>
              <w:rPr>
                <w:rFonts w:ascii="Arial" w:hAnsi="Arial" w:cs="Arial"/>
              </w:rPr>
            </w:pPr>
          </w:p>
        </w:tc>
      </w:tr>
      <w:tr w:rsidR="00A22F16" w:rsidRPr="00E72F74" w:rsidTr="007050E5">
        <w:trPr>
          <w:trHeight w:val="710"/>
        </w:trPr>
        <w:tc>
          <w:tcPr>
            <w:tcW w:w="2785" w:type="dxa"/>
            <w:shd w:val="clear" w:color="auto" w:fill="D9E2F3" w:themeFill="accent1" w:themeFillTint="33"/>
          </w:tcPr>
          <w:p w:rsidR="00A22F16" w:rsidRPr="00E72F74" w:rsidRDefault="00A22F16">
            <w:pPr>
              <w:rPr>
                <w:rFonts w:ascii="Arial" w:hAnsi="Arial" w:cs="Arial"/>
                <w:b/>
              </w:rPr>
            </w:pPr>
            <w:r w:rsidRPr="00E72F74">
              <w:rPr>
                <w:rFonts w:ascii="Arial" w:hAnsi="Arial" w:cs="Arial"/>
                <w:b/>
              </w:rPr>
              <w:t>Reference interval (normal range)</w:t>
            </w:r>
          </w:p>
        </w:tc>
        <w:tc>
          <w:tcPr>
            <w:tcW w:w="6565" w:type="dxa"/>
          </w:tcPr>
          <w:p w:rsidR="00A22F16" w:rsidRPr="00E72F74" w:rsidRDefault="004021B3" w:rsidP="00FF7B22">
            <w:pPr>
              <w:rPr>
                <w:rFonts w:ascii="Arial" w:hAnsi="Arial" w:cs="Arial"/>
              </w:rPr>
            </w:pPr>
            <w:r>
              <w:rPr>
                <w:rFonts w:ascii="Arial" w:hAnsi="Arial" w:cs="Arial"/>
              </w:rPr>
              <w:t>Not applicable for TCR calls</w:t>
            </w:r>
            <w:r w:rsidR="00121F92">
              <w:rPr>
                <w:rFonts w:ascii="Arial" w:hAnsi="Arial" w:cs="Arial"/>
              </w:rPr>
              <w:t xml:space="preserve">; </w:t>
            </w:r>
            <w:proofErr w:type="spellStart"/>
            <w:r w:rsidR="00121F92">
              <w:rPr>
                <w:rFonts w:ascii="Arial" w:hAnsi="Arial" w:cs="Arial"/>
              </w:rPr>
              <w:t>phenotyping</w:t>
            </w:r>
            <w:proofErr w:type="spellEnd"/>
            <w:r w:rsidR="00121F92">
              <w:rPr>
                <w:rFonts w:ascii="Arial" w:hAnsi="Arial" w:cs="Arial"/>
              </w:rPr>
              <w:t xml:space="preserve"> genes vary by cell type</w:t>
            </w:r>
          </w:p>
        </w:tc>
      </w:tr>
      <w:tr w:rsidR="00A22F16" w:rsidRPr="00E72F74" w:rsidTr="007050E5">
        <w:trPr>
          <w:trHeight w:val="1250"/>
        </w:trPr>
        <w:tc>
          <w:tcPr>
            <w:tcW w:w="2785" w:type="dxa"/>
            <w:shd w:val="clear" w:color="auto" w:fill="D9E2F3" w:themeFill="accent1" w:themeFillTint="33"/>
          </w:tcPr>
          <w:p w:rsidR="00A22F16" w:rsidRPr="00E72F74" w:rsidRDefault="00A22F16">
            <w:pPr>
              <w:rPr>
                <w:rFonts w:ascii="Arial" w:hAnsi="Arial" w:cs="Arial"/>
                <w:b/>
              </w:rPr>
            </w:pPr>
            <w:r w:rsidRPr="00E72F74">
              <w:rPr>
                <w:rFonts w:ascii="Arial" w:hAnsi="Arial" w:cs="Arial"/>
                <w:b/>
              </w:rPr>
              <w:t>Standardization, harmonization, reproducibility, and ruggedness</w:t>
            </w:r>
          </w:p>
        </w:tc>
        <w:tc>
          <w:tcPr>
            <w:tcW w:w="6565" w:type="dxa"/>
          </w:tcPr>
          <w:p w:rsidR="00A22F16" w:rsidRPr="00E72F74" w:rsidRDefault="00180CCD" w:rsidP="0042398F">
            <w:pPr>
              <w:rPr>
                <w:rFonts w:ascii="Arial" w:hAnsi="Arial" w:cs="Arial"/>
              </w:rPr>
            </w:pPr>
            <w:r>
              <w:rPr>
                <w:rFonts w:ascii="Arial" w:hAnsi="Arial" w:cs="Arial"/>
              </w:rPr>
              <w:t xml:space="preserve">Lack of contamination of empty wells, and positive signals with all </w:t>
            </w:r>
            <w:proofErr w:type="spellStart"/>
            <w:r>
              <w:rPr>
                <w:rFonts w:ascii="Arial" w:hAnsi="Arial" w:cs="Arial"/>
              </w:rPr>
              <w:t>phenotyping</w:t>
            </w:r>
            <w:proofErr w:type="spellEnd"/>
            <w:r>
              <w:rPr>
                <w:rFonts w:ascii="Arial" w:hAnsi="Arial" w:cs="Arial"/>
              </w:rPr>
              <w:t xml:space="preserve"> primers (</w:t>
            </w:r>
            <w:r w:rsidR="00FA6AAE">
              <w:rPr>
                <w:rFonts w:ascii="Arial" w:hAnsi="Arial" w:cs="Arial"/>
              </w:rPr>
              <w:t xml:space="preserve">page </w:t>
            </w:r>
            <w:r w:rsidR="00543622">
              <w:rPr>
                <w:rFonts w:ascii="Arial" w:hAnsi="Arial" w:cs="Arial"/>
              </w:rPr>
              <w:t>9</w:t>
            </w:r>
            <w:r w:rsidR="00FA6AAE">
              <w:rPr>
                <w:rFonts w:ascii="Arial" w:hAnsi="Arial" w:cs="Arial"/>
              </w:rPr>
              <w:t>,</w:t>
            </w:r>
            <w:r>
              <w:rPr>
                <w:rFonts w:ascii="Arial" w:hAnsi="Arial" w:cs="Arial"/>
              </w:rPr>
              <w:t xml:space="preserve"> </w:t>
            </w:r>
            <w:r w:rsidRPr="00180CCD">
              <w:rPr>
                <w:rFonts w:ascii="Arial" w:hAnsi="Arial" w:cs="Arial"/>
                <w:b/>
              </w:rPr>
              <w:t xml:space="preserve">Figure </w:t>
            </w:r>
            <w:r w:rsidR="00FA6AAE">
              <w:rPr>
                <w:rFonts w:ascii="Arial" w:hAnsi="Arial" w:cs="Arial"/>
                <w:b/>
              </w:rPr>
              <w:t>7</w:t>
            </w:r>
            <w:r>
              <w:rPr>
                <w:rFonts w:ascii="Arial" w:hAnsi="Arial" w:cs="Arial"/>
              </w:rPr>
              <w:t>)</w:t>
            </w:r>
          </w:p>
        </w:tc>
      </w:tr>
      <w:tr w:rsidR="00A22F16" w:rsidRPr="00E72F74" w:rsidTr="007050E5">
        <w:trPr>
          <w:trHeight w:val="989"/>
        </w:trPr>
        <w:tc>
          <w:tcPr>
            <w:tcW w:w="2785" w:type="dxa"/>
            <w:shd w:val="clear" w:color="auto" w:fill="D9E2F3" w:themeFill="accent1" w:themeFillTint="33"/>
          </w:tcPr>
          <w:p w:rsidR="00A22F16" w:rsidRPr="00E72F74" w:rsidRDefault="00A22F16">
            <w:pPr>
              <w:rPr>
                <w:rFonts w:ascii="Arial" w:hAnsi="Arial" w:cs="Arial"/>
                <w:b/>
              </w:rPr>
            </w:pPr>
            <w:r w:rsidRPr="00E72F74">
              <w:rPr>
                <w:rFonts w:ascii="Arial" w:hAnsi="Arial" w:cs="Arial"/>
                <w:b/>
              </w:rPr>
              <w:t>Quality control and improvement procedures</w:t>
            </w:r>
          </w:p>
        </w:tc>
        <w:tc>
          <w:tcPr>
            <w:tcW w:w="6565" w:type="dxa"/>
          </w:tcPr>
          <w:p w:rsidR="00A22F16" w:rsidRPr="00E72F74" w:rsidRDefault="00407627">
            <w:pPr>
              <w:rPr>
                <w:rFonts w:ascii="Arial" w:hAnsi="Arial" w:cs="Arial"/>
              </w:rPr>
            </w:pPr>
            <w:r>
              <w:rPr>
                <w:rFonts w:ascii="Arial" w:hAnsi="Arial" w:cs="Arial"/>
              </w:rPr>
              <w:t xml:space="preserve">Spike-in controls used on each plate; automation adaptations (see </w:t>
            </w:r>
            <w:r w:rsidRPr="00407627">
              <w:rPr>
                <w:rFonts w:ascii="Arial" w:hAnsi="Arial" w:cs="Arial"/>
                <w:b/>
              </w:rPr>
              <w:t>Materials and Methods</w:t>
            </w:r>
            <w:r>
              <w:rPr>
                <w:rFonts w:ascii="Arial" w:hAnsi="Arial" w:cs="Arial"/>
              </w:rPr>
              <w:t xml:space="preserve"> below)</w:t>
            </w:r>
          </w:p>
        </w:tc>
      </w:tr>
      <w:tr w:rsidR="00A22F16" w:rsidRPr="00E72F74" w:rsidTr="007050E5">
        <w:trPr>
          <w:trHeight w:val="701"/>
        </w:trPr>
        <w:tc>
          <w:tcPr>
            <w:tcW w:w="2785" w:type="dxa"/>
            <w:shd w:val="clear" w:color="auto" w:fill="D9E2F3" w:themeFill="accent1" w:themeFillTint="33"/>
          </w:tcPr>
          <w:p w:rsidR="00A22F16" w:rsidRPr="00E72F74" w:rsidRDefault="00A22F16">
            <w:pPr>
              <w:rPr>
                <w:rFonts w:ascii="Arial" w:hAnsi="Arial" w:cs="Arial"/>
                <w:b/>
              </w:rPr>
            </w:pPr>
            <w:r w:rsidRPr="00E72F74">
              <w:rPr>
                <w:rFonts w:ascii="Arial" w:hAnsi="Arial" w:cs="Arial"/>
                <w:b/>
              </w:rPr>
              <w:t>Any other performance data</w:t>
            </w:r>
          </w:p>
        </w:tc>
        <w:tc>
          <w:tcPr>
            <w:tcW w:w="6565" w:type="dxa"/>
          </w:tcPr>
          <w:p w:rsidR="00A22F16" w:rsidRPr="003E296A" w:rsidRDefault="001D3A6E">
            <w:pPr>
              <w:rPr>
                <w:rFonts w:ascii="Arial" w:hAnsi="Arial" w:cs="Arial"/>
                <w:color w:val="C00000"/>
              </w:rPr>
            </w:pPr>
            <w:r w:rsidRPr="003E296A">
              <w:rPr>
                <w:rFonts w:ascii="Arial" w:hAnsi="Arial" w:cs="Arial"/>
                <w:color w:val="C00000"/>
              </w:rPr>
              <w:t xml:space="preserve">Effect of in vitro stimulation with PMA (page </w:t>
            </w:r>
            <w:r w:rsidR="00F91CFD" w:rsidRPr="003E296A">
              <w:rPr>
                <w:rFonts w:ascii="Arial" w:hAnsi="Arial" w:cs="Arial"/>
                <w:color w:val="C00000"/>
              </w:rPr>
              <w:t>10</w:t>
            </w:r>
            <w:r w:rsidRPr="003E296A">
              <w:rPr>
                <w:rFonts w:ascii="Arial" w:hAnsi="Arial" w:cs="Arial"/>
                <w:color w:val="C00000"/>
              </w:rPr>
              <w:t xml:space="preserve">, </w:t>
            </w:r>
            <w:r w:rsidRPr="003E296A">
              <w:rPr>
                <w:rFonts w:ascii="Arial" w:hAnsi="Arial" w:cs="Arial"/>
                <w:b/>
                <w:color w:val="C00000"/>
              </w:rPr>
              <w:t>Figure 8</w:t>
            </w:r>
            <w:r w:rsidRPr="003E296A">
              <w:rPr>
                <w:rFonts w:ascii="Arial" w:hAnsi="Arial" w:cs="Arial"/>
                <w:color w:val="C00000"/>
              </w:rPr>
              <w:t>)</w:t>
            </w:r>
          </w:p>
        </w:tc>
      </w:tr>
    </w:tbl>
    <w:p w:rsidR="008F3ACC" w:rsidRPr="00E72F74" w:rsidRDefault="008F3ACC">
      <w:pPr>
        <w:rPr>
          <w:rFonts w:ascii="Arial" w:hAnsi="Arial" w:cs="Arial"/>
        </w:rPr>
      </w:pPr>
    </w:p>
    <w:p w:rsidR="00B12379" w:rsidRDefault="00B12379">
      <w:pPr>
        <w:rPr>
          <w:rFonts w:ascii="Arial" w:hAnsi="Arial" w:cs="Arial"/>
          <w:b/>
        </w:rPr>
      </w:pPr>
      <w:r>
        <w:rPr>
          <w:rFonts w:ascii="Arial" w:hAnsi="Arial" w:cs="Arial"/>
          <w:b/>
        </w:rPr>
        <w:br w:type="page"/>
      </w:r>
    </w:p>
    <w:p w:rsidR="00736A5E" w:rsidRPr="00736A5E" w:rsidRDefault="00175FB5" w:rsidP="00736A5E">
      <w:pPr>
        <w:pStyle w:val="Heading1"/>
      </w:pPr>
      <w:r w:rsidRPr="00736A5E">
        <w:rPr>
          <w:rStyle w:val="Heading1Char"/>
          <w:b/>
        </w:rPr>
        <w:lastRenderedPageBreak/>
        <w:t xml:space="preserve">1. </w:t>
      </w:r>
      <w:r w:rsidR="003C102E" w:rsidRPr="00736A5E">
        <w:rPr>
          <w:rStyle w:val="Heading1Char"/>
          <w:b/>
        </w:rPr>
        <w:t>Materials and Methods.</w:t>
      </w:r>
    </w:p>
    <w:p w:rsidR="003C102E" w:rsidRPr="00175FB5" w:rsidRDefault="00305F07" w:rsidP="00E975C5">
      <w:pPr>
        <w:jc w:val="both"/>
        <w:rPr>
          <w:rFonts w:ascii="Arial" w:hAnsi="Arial" w:cs="Arial"/>
        </w:rPr>
      </w:pPr>
      <w:r w:rsidRPr="00175FB5">
        <w:rPr>
          <w:rFonts w:ascii="Arial" w:hAnsi="Arial" w:cs="Arial"/>
        </w:rPr>
        <w:t xml:space="preserve">Validation was carried out on single sorted human PBMC </w:t>
      </w:r>
      <w:r w:rsidR="00D822E0" w:rsidRPr="00175FB5">
        <w:rPr>
          <w:rFonts w:ascii="Arial" w:hAnsi="Arial" w:cs="Arial"/>
        </w:rPr>
        <w:t xml:space="preserve">(stimulated 3 h with </w:t>
      </w:r>
      <w:proofErr w:type="spellStart"/>
      <w:r w:rsidR="00D822E0" w:rsidRPr="00175FB5">
        <w:rPr>
          <w:rFonts w:ascii="Arial" w:hAnsi="Arial" w:cs="Arial"/>
        </w:rPr>
        <w:t>PMA+ionomycin</w:t>
      </w:r>
      <w:proofErr w:type="spellEnd"/>
      <w:r w:rsidR="00D822E0" w:rsidRPr="00175FB5">
        <w:rPr>
          <w:rFonts w:ascii="Arial" w:hAnsi="Arial" w:cs="Arial"/>
        </w:rPr>
        <w:t xml:space="preserve">) </w:t>
      </w:r>
      <w:r w:rsidRPr="00175FB5">
        <w:rPr>
          <w:rFonts w:ascii="Arial" w:hAnsi="Arial" w:cs="Arial"/>
        </w:rPr>
        <w:t xml:space="preserve">or </w:t>
      </w:r>
      <w:proofErr w:type="spellStart"/>
      <w:r w:rsidRPr="00175FB5">
        <w:rPr>
          <w:rFonts w:ascii="Arial" w:hAnsi="Arial" w:cs="Arial"/>
        </w:rPr>
        <w:t>clonal</w:t>
      </w:r>
      <w:proofErr w:type="spellEnd"/>
      <w:r w:rsidRPr="00175FB5">
        <w:rPr>
          <w:rFonts w:ascii="Arial" w:hAnsi="Arial" w:cs="Arial"/>
        </w:rPr>
        <w:t xml:space="preserve"> T cell lines, as noted.</w:t>
      </w:r>
    </w:p>
    <w:p w:rsidR="003B52F8" w:rsidRPr="00DB4615" w:rsidRDefault="003B52F8" w:rsidP="00E975C5">
      <w:pPr>
        <w:jc w:val="both"/>
        <w:rPr>
          <w:rFonts w:ascii="Arial" w:hAnsi="Arial" w:cs="Arial"/>
        </w:rPr>
      </w:pPr>
    </w:p>
    <w:p w:rsidR="0070378C" w:rsidRDefault="00305F07" w:rsidP="008820DA">
      <w:pPr>
        <w:rPr>
          <w:rFonts w:ascii="Arial" w:hAnsi="Arial" w:cs="Arial"/>
        </w:rPr>
      </w:pPr>
      <w:proofErr w:type="spellStart"/>
      <w:r>
        <w:rPr>
          <w:rFonts w:ascii="Arial" w:hAnsi="Arial" w:cs="Arial"/>
        </w:rPr>
        <w:t>Phenotyping</w:t>
      </w:r>
      <w:proofErr w:type="spellEnd"/>
      <w:r>
        <w:rPr>
          <w:rFonts w:ascii="Arial" w:hAnsi="Arial" w:cs="Arial"/>
        </w:rPr>
        <w:t xml:space="preserve"> genes were as shown in </w:t>
      </w:r>
      <w:r w:rsidRPr="00407627">
        <w:rPr>
          <w:rFonts w:ascii="Arial" w:hAnsi="Arial" w:cs="Arial"/>
          <w:b/>
        </w:rPr>
        <w:t>Table 2</w:t>
      </w:r>
      <w:r>
        <w:rPr>
          <w:rFonts w:ascii="Arial" w:hAnsi="Arial" w:cs="Arial"/>
        </w:rPr>
        <w:t>.  Primer pairs for these genes, as well as for TCR V</w:t>
      </w:r>
      <w:r w:rsidRPr="00305F07">
        <w:rPr>
          <w:rFonts w:ascii="Symbol" w:hAnsi="Symbol" w:cs="Arial"/>
        </w:rPr>
        <w:t></w:t>
      </w:r>
      <w:r>
        <w:rPr>
          <w:rFonts w:ascii="Arial" w:hAnsi="Arial" w:cs="Arial"/>
        </w:rPr>
        <w:t>-C</w:t>
      </w:r>
      <w:r w:rsidRPr="00305F07">
        <w:rPr>
          <w:rFonts w:ascii="Symbol" w:hAnsi="Symbol" w:cs="Arial"/>
        </w:rPr>
        <w:t></w:t>
      </w:r>
      <w:r>
        <w:rPr>
          <w:rFonts w:ascii="Arial" w:hAnsi="Arial" w:cs="Arial"/>
        </w:rPr>
        <w:t xml:space="preserve"> and TCR V</w:t>
      </w:r>
      <w:r w:rsidRPr="00305F07">
        <w:rPr>
          <w:rFonts w:ascii="Symbol" w:hAnsi="Symbol" w:cs="Arial"/>
        </w:rPr>
        <w:t></w:t>
      </w:r>
      <w:r>
        <w:rPr>
          <w:rFonts w:ascii="Arial" w:hAnsi="Arial" w:cs="Arial"/>
        </w:rPr>
        <w:t>-C</w:t>
      </w:r>
      <w:r w:rsidRPr="00305F07">
        <w:rPr>
          <w:rFonts w:ascii="Symbol" w:hAnsi="Symbol" w:cs="Arial"/>
        </w:rPr>
        <w:t></w:t>
      </w:r>
      <w:r>
        <w:rPr>
          <w:rFonts w:ascii="Symbol" w:hAnsi="Symbol" w:cs="Arial"/>
        </w:rPr>
        <w:t></w:t>
      </w:r>
      <w:r w:rsidRPr="00305F07">
        <w:rPr>
          <w:rFonts w:ascii="Arial" w:hAnsi="Arial" w:cs="Arial"/>
        </w:rPr>
        <w:t>were</w:t>
      </w:r>
      <w:r>
        <w:rPr>
          <w:rFonts w:ascii="Arial" w:hAnsi="Arial" w:cs="Arial"/>
        </w:rPr>
        <w:t xml:space="preserve"> as </w:t>
      </w:r>
      <w:r w:rsidR="006E1598">
        <w:rPr>
          <w:rFonts w:ascii="Arial" w:hAnsi="Arial" w:cs="Arial"/>
        </w:rPr>
        <w:t xml:space="preserve">initially </w:t>
      </w:r>
      <w:r>
        <w:rPr>
          <w:rFonts w:ascii="Arial" w:hAnsi="Arial" w:cs="Arial"/>
        </w:rPr>
        <w:t xml:space="preserve">described in </w:t>
      </w:r>
      <w:r w:rsidR="00373A9E">
        <w:rPr>
          <w:rFonts w:ascii="Arial" w:hAnsi="Arial" w:cs="Arial"/>
        </w:rPr>
        <w:t>Han</w:t>
      </w:r>
      <w:r>
        <w:rPr>
          <w:rFonts w:ascii="Arial" w:hAnsi="Arial" w:cs="Arial"/>
        </w:rPr>
        <w:t xml:space="preserve"> et al</w:t>
      </w:r>
      <w:r w:rsidR="0041563F">
        <w:rPr>
          <w:rFonts w:ascii="Arial" w:hAnsi="Arial" w:cs="Arial"/>
        </w:rPr>
        <w:t xml:space="preserve">. </w:t>
      </w:r>
      <w:r w:rsidR="000B32DA">
        <w:rPr>
          <w:rFonts w:ascii="Arial" w:hAnsi="Arial" w:cs="Arial"/>
        </w:rPr>
        <w:fldChar w:fldCharType="begin"/>
      </w:r>
      <w:r w:rsidR="006E1598">
        <w:rPr>
          <w:rFonts w:ascii="Arial" w:hAnsi="Arial" w:cs="Arial"/>
        </w:rPr>
        <w:instrText>ADDIN F1000_CSL_CITATION&lt;~#@#~&gt;[{"DOI":"10.1038/nbt.2938","First":false,"Last":false,"PMCID":"PMC4337815","PMID":"24952902","abstract":"Although each T lymphocyte expresses a T-cell receptor (TCR) that recognizes cognate antigen and controls T-cell activation, different T cells bearing the same TCR can be functionally distinct. Each TCR is a heterodimer, and both α- and β-chains contribute to determining TCR antigen specificity. Here we present a methodology enabling integration of information about TCR specificity with information about T cell function. This method involves sequencing of TCRα and TCRβ genes, and amplifying functional genes characteristic of different T cell subsets, in single T cells. Because this approach retains information about individual TCRα-TCRβ pairs, TCRs of interest can be expressed and used in functional studies, for antigen discovery, or in therapeutic applications. We apply this approach to study the clonal ancestry and differentiation of T lymphocytes infiltrating a human colorectal carcinoma.","author":[{"family":"Han","given":"Arnold"},{"family":"Glanville","given":"Jacob"},{"family":"Hansmann","given":"Leo"},{"family":"Davis","given":"Mark M"}],"authorYearDisplayFormat":false,"citation-label":"17053","container-title":"Nature Biotechnology","container-title-short":"Nat. Biotechnol.","id":"17053","invisible":false,"issue":"7","issued":{"date-parts":[["2014","7"]]},"journalAbbreviation":"Nat. Biotechnol.","page":"684-692","suppress-author":false,"title":"Linking T-cell receptor sequence to functional phenotype at the single-cell level.","type":"article-journal","volume":"32"},{"DOI":"10.1073/pnas.1311861110","First":false,"Last":false,"PMCID":"PMC3740842","PMID":"23878218","abstract":"Celiac disease is an intestinal autoimmune disease driven by dietary gluten and gluten-specific CD4(+) T-cell responses. In celiac patients on a gluten-free diet, exposure to gluten induces the appearance of gluten-specific CD4(+) T cells with gut-homing potential in the peripheral blood. Here we show that gluten exposure also induces the appearance of activated, gut-homing CD8(+) αβ and γδ T cells in the peripheral blood. Single-cell T-cell receptor sequence analysis indicates that both of these cell populations have highly focused T-cell receptor repertoires, indicating that their induction is antigen-driven. These results reveal a previously unappreciated role of antigen in the induction of CD8(+) αβ and γδ T cells in celiac disease and demonstrate a coordinated response by all three of the major types of T cells. More broadly, these responses may parallel adaptive immune responses to viral pathogens and other systemic autoimmune diseases. ","author":[{"family":"Han","given":"Arnold"},{"family":"Newell","given":"Evan W"},{"family":"Glanville","given":"Jacob"},{"family":"Fernandez-Becker","given":"Nielsen"},{"family":"Khosla","given":"Chaitan"},{"family":"Chien","given":"Yueh-Hsiu"},{"family":"Davis","given":"Mark M"}],"authorYearDisplayFormat":false,"citation-label":"174369","container-title":"Proceedings of the National Academy of Sciences of the United States of America","container-title-short":"Proc Natl Acad Sci USA","id":"174369","invisible":false,"issue":"32","issued":{"date-parts":[["2013","8","6"]]},"journalAbbreviation":"Proc Natl Acad Sci USA","page":"13073-13078","suppress-author":false,"title":"Dietary gluten triggers concomitant activation of CD4+ and CD8+ αβ T cells and γδ T cells in celiac disease.","type":"article-journal","volume":"110"}]</w:instrText>
      </w:r>
      <w:r w:rsidR="000B32DA">
        <w:rPr>
          <w:rFonts w:ascii="Arial" w:hAnsi="Arial" w:cs="Arial"/>
        </w:rPr>
        <w:fldChar w:fldCharType="separate"/>
      </w:r>
      <w:r w:rsidR="003670E7" w:rsidRPr="003670E7">
        <w:rPr>
          <w:rFonts w:ascii="Arial" w:hAnsi="Arial" w:cs="Arial"/>
          <w:noProof/>
        </w:rPr>
        <w:t>(1, 2)</w:t>
      </w:r>
      <w:r w:rsidR="000B32DA">
        <w:rPr>
          <w:rFonts w:ascii="Arial" w:hAnsi="Arial" w:cs="Arial"/>
        </w:rPr>
        <w:fldChar w:fldCharType="end"/>
      </w:r>
      <w:r w:rsidR="006E1598">
        <w:rPr>
          <w:rFonts w:ascii="Arial" w:hAnsi="Arial" w:cs="Arial"/>
        </w:rPr>
        <w:t xml:space="preserve"> and Su et al. </w:t>
      </w:r>
      <w:r w:rsidR="000B32DA">
        <w:rPr>
          <w:rFonts w:ascii="Arial" w:hAnsi="Arial" w:cs="Arial"/>
        </w:rPr>
        <w:fldChar w:fldCharType="begin"/>
      </w:r>
      <w:r w:rsidR="006E1598">
        <w:rPr>
          <w:rFonts w:ascii="Arial" w:hAnsi="Arial" w:cs="Arial"/>
        </w:rPr>
        <w:instrText>ADDIN F1000_CSL_CITATION&lt;~#@#~&gt;[{"DOI":"10.1016/j.immuni.2012.10.021","First":false,"Last":false,"PMCID":"PMC3626102","PMID":"23395677","abstract":"Although T cell memory is generally thought to require direct antigen exposure, we found an abundance of memory-phenotype cells (20%-90%, averaging over 50%) of CD4(+) T cells specific to viral antigens in adults who had never been infected. These cells express the appropriate memory markers and genes, rapidly produce cytokines, and have clonally expanded. In contrast, the same T cell receptor (TCR) specificities in newborns are almost entirely naïve, which might explain the vulnerability of young children to infections. One mechanism for this phenomenon is TCR cross-reactivity to environmental antigens, and in support of this, we found extensive cross-recognition by HIV-1 and influenza-reactive T lymphocytes to other microbial peptides and expansion of one of these after influenza vaccination. Thus, the presence of these memory-phenotype T cells has significant implications for immunity to novel pathogens, child and adult health, and the influence of pathogen-rich versus hygienic environments.&lt;br&gt;&lt;br&gt;Copyright © 2013 Elsevier Inc. All rights reserved.","author":[{"family":"Su","given":"Laura F"},{"family":"Kidd","given":"Brian A"},{"family":"Han","given":"Arnold"},{"family":"Kotzin","given":"Jonathan J"},{"family":"Davis","given":"Mark M"}],"authorYearDisplayFormat":false,"citation-label":"425732","container-title":"Immunity","container-title-short":"Immunity","id":"425732","invisible":false,"issue":"2","issued":{"date-parts":[["2013","2","21"]]},"journalAbbreviation":"Immunity","page":"373-383","suppress-author":false,"title":"Virus-specific CD4(+) memory-phenotype T cells are abundant in unexposed adults.","type":"article-journal","volume":"38"}]</w:instrText>
      </w:r>
      <w:r w:rsidR="000B32DA">
        <w:rPr>
          <w:rFonts w:ascii="Arial" w:hAnsi="Arial" w:cs="Arial"/>
        </w:rPr>
        <w:fldChar w:fldCharType="separate"/>
      </w:r>
      <w:r w:rsidR="003670E7" w:rsidRPr="003670E7">
        <w:rPr>
          <w:rFonts w:ascii="Arial" w:hAnsi="Arial" w:cs="Arial"/>
          <w:noProof/>
        </w:rPr>
        <w:t>(3)</w:t>
      </w:r>
      <w:r w:rsidR="000B32DA">
        <w:rPr>
          <w:rFonts w:ascii="Arial" w:hAnsi="Arial" w:cs="Arial"/>
        </w:rPr>
        <w:fldChar w:fldCharType="end"/>
      </w:r>
      <w:r w:rsidR="006E1598">
        <w:rPr>
          <w:rFonts w:ascii="Arial" w:hAnsi="Arial" w:cs="Arial"/>
        </w:rPr>
        <w:t xml:space="preserve">, and also used in Glanville et al. </w:t>
      </w:r>
      <w:r w:rsidR="000B32DA">
        <w:rPr>
          <w:rFonts w:ascii="Arial" w:hAnsi="Arial" w:cs="Arial"/>
        </w:rPr>
        <w:fldChar w:fldCharType="begin"/>
      </w:r>
      <w:r w:rsidR="006E1598">
        <w:rPr>
          <w:rFonts w:ascii="Arial" w:hAnsi="Arial" w:cs="Arial"/>
        </w:rPr>
        <w:instrText>ADDIN F1000_CSL_CITATION&lt;~#@#~&gt;[{"DOI":"10.1038/nature22976","First":false,"Last":false,"PMCID":"PMC5794212","PMID":"28636589","abstract":"T cell receptor (TCR) sequences are very diverse, with many more possible sequence combinations than T cells in any one individual. Here we define the minimal requirements for TCR antigen specificity, through an analysis of TCR sequences using a panel of peptide and major histocompatibility complex (pMHC)-tetramer-sorted cells and structural data. From this analysis we developed an algorithm that we term GLIPH (grouping of lymphocyte interactions by paratope hotspots) to cluster TCRs with a high probability of sharing specificity owing to both conserved motifs and global similarity of complementarity-determining region 3 (CDR3) sequences. We show that GLIPH can reliably group TCRs of common specificity from different donors, and that conserved CDR3 motifs help to define the TCR clusters that are often contact points with the antigenic peptides. As an independent validation, we analysed 5,711 TCRβ chain sequences from reactive CD4 T cells from 22 individuals with latent Mycobacterium tuberculosis infection. We found 141 TCR specificity groups, including 16 distinct groups containing TCRs from multiple individuals. These TCR groups typically shared HLA alleles, allowing prediction of the likely HLA restriction, and a large number of M. tuberculosis T cell epitopes enabled us to identify pMHC ligands for all five of the groups tested. Mutagenesis and de novo TCR design confirmed that the GLIPH-identified motifs were critical and sufficient for shared-antigen recognition. Thus the GLIPH algorithm can analyse large numbers of TCR sequences and define TCR specificity groups shared by TCRs and individuals, which should greatly accelerate the analysis of T cell responses and expedite the identification of specific ligands.","author":[{"family":"Glanville","given":"Jacob"},{"family":"Huang","given":"Huang"},{"family":"Nau","given":"Allison"},{"family":"Hatton","given":"Olivia"},{"family":"Wagar","given":"Lisa E"},{"family":"Rubelt","given":"Florian"},{"family":"Ji","given":"Xuhuai"},{"family":"Han","given":"Arnold"},{"family":"Krams","given":"Sheri M"},{"family":"Pettus","given":"Christina"},{"family":"Haas","given":"Nikhil"},{"family":"Arlehamn","given":"Cecilia S Lindestam"},{"family":"Sette","given":"Alessandro"},{"family":"Boyd","given":"Scott D"},{"family":"Scriba","given":"Thomas J"},{"family":"Martinez","given":"Olivia M"},{"family":"Davis","given":"Mark M"}],"authorYearDisplayFormat":false,"citation-label":"3846755","container-title":"Nature","container-title-short":"Nature","id":"3846755","invisible":false,"issue":"7661","issued":{"date-parts":[["2017","7","6"]]},"journalAbbreviation":"Nature","page":"94-98","suppress-author":false,"title":"Identifying specificity groups in the T cell receptor repertoire.","type":"article-journal","volume":"547"}]</w:instrText>
      </w:r>
      <w:r w:rsidR="000B32DA">
        <w:rPr>
          <w:rFonts w:ascii="Arial" w:hAnsi="Arial" w:cs="Arial"/>
        </w:rPr>
        <w:fldChar w:fldCharType="separate"/>
      </w:r>
      <w:r w:rsidR="003670E7" w:rsidRPr="003670E7">
        <w:rPr>
          <w:rFonts w:ascii="Arial" w:hAnsi="Arial" w:cs="Arial"/>
          <w:noProof/>
        </w:rPr>
        <w:t>(4)</w:t>
      </w:r>
      <w:r w:rsidR="000B32DA">
        <w:rPr>
          <w:rFonts w:ascii="Arial" w:hAnsi="Arial" w:cs="Arial"/>
        </w:rPr>
        <w:fldChar w:fldCharType="end"/>
      </w:r>
      <w:r w:rsidR="006E1598">
        <w:rPr>
          <w:rFonts w:ascii="Arial" w:hAnsi="Arial" w:cs="Arial"/>
        </w:rPr>
        <w:t>.</w:t>
      </w:r>
    </w:p>
    <w:p w:rsidR="002D00B2" w:rsidRDefault="002D00B2" w:rsidP="008820DA">
      <w:pPr>
        <w:rPr>
          <w:rFonts w:ascii="Arial" w:hAnsi="Arial" w:cs="Arial"/>
        </w:rPr>
      </w:pPr>
    </w:p>
    <w:p w:rsidR="002D00B2" w:rsidRDefault="002D00B2" w:rsidP="002D00B2">
      <w:pPr>
        <w:tabs>
          <w:tab w:val="num" w:pos="720"/>
        </w:tabs>
        <w:jc w:val="both"/>
        <w:rPr>
          <w:rFonts w:ascii="Arial" w:hAnsi="Arial" w:cs="Arial"/>
        </w:rPr>
      </w:pPr>
      <w:r w:rsidRPr="002D00B2">
        <w:rPr>
          <w:rFonts w:ascii="Arial" w:hAnsi="Arial" w:cs="Arial"/>
        </w:rPr>
        <w:t xml:space="preserve">The protocol from Han et al. </w:t>
      </w:r>
      <w:r w:rsidR="000B32DA">
        <w:rPr>
          <w:rFonts w:ascii="Arial" w:hAnsi="Arial" w:cs="Arial"/>
        </w:rPr>
        <w:fldChar w:fldCharType="begin"/>
      </w:r>
      <w:r w:rsidR="006E1598">
        <w:rPr>
          <w:rFonts w:ascii="Arial" w:hAnsi="Arial" w:cs="Arial"/>
        </w:rPr>
        <w:instrText>ADDIN F1000_CSL_CITATION&lt;~#@#~&gt;[{"DOI":"10.1038/nbt.2938","First":false,"Last":false,"PMCID":"PMC4337815","PMID":"24952902","abstract":"Although each T lymphocyte expresses a T-cell receptor (TCR) that recognizes cognate antigen and controls T-cell activation, different T cells bearing the same TCR can be functionally distinct. Each TCR is a heterodimer, and both α- and β-chains contribute to determining TCR antigen specificity. Here we present a methodology enabling integration of information about TCR specificity with information about T cell function. This method involves sequencing of TCRα and TCRβ genes, and amplifying functional genes characteristic of different T cell subsets, in single T cells. Because this approach retains information about individual TCRα-TCRβ pairs, TCRs of interest can be expressed and used in functional studies, for antigen discovery, or in therapeutic applications. We apply this approach to study the clonal ancestry and differentiation of T lymphocytes infiltrating a human colorectal carcinoma. ","author":[{"family":"Han","given":"Arnold"},{"family":"Glanville","given":"Jacob"},{"family":"Hansmann","given":"Leo"},{"family":"Davis","given":"Mark M"}],"authorYearDisplayFormat":false,"citation-label":"17053","container-title":"Nature Biotechnology","container-title-short":"Nat. Biotechnol.","id":"17053","invisible":false,"issue":"7","issued":{"date-parts":[["2014","7"]]},"journalAbbreviation":"Nat. Biotechnol.","page":"684-692","suppress-author":false,"title":"Linking T-cell receptor sequence to functional phenotype at the single-cell level.","type":"article-journal","volume":"32"}]</w:instrText>
      </w:r>
      <w:r w:rsidR="000B32DA">
        <w:rPr>
          <w:rFonts w:ascii="Arial" w:hAnsi="Arial" w:cs="Arial"/>
        </w:rPr>
        <w:fldChar w:fldCharType="separate"/>
      </w:r>
      <w:r w:rsidR="003670E7" w:rsidRPr="003670E7">
        <w:rPr>
          <w:rFonts w:ascii="Arial" w:hAnsi="Arial" w:cs="Arial"/>
          <w:noProof/>
        </w:rPr>
        <w:t>(1)</w:t>
      </w:r>
      <w:r w:rsidR="000B32DA">
        <w:rPr>
          <w:rFonts w:ascii="Arial" w:hAnsi="Arial" w:cs="Arial"/>
        </w:rPr>
        <w:fldChar w:fldCharType="end"/>
      </w:r>
      <w:r w:rsidR="00175FB5">
        <w:rPr>
          <w:rFonts w:ascii="Arial" w:hAnsi="Arial" w:cs="Arial"/>
        </w:rPr>
        <w:t xml:space="preserve"> </w:t>
      </w:r>
      <w:r w:rsidRPr="002D00B2">
        <w:rPr>
          <w:rFonts w:ascii="Arial" w:hAnsi="Arial" w:cs="Arial"/>
        </w:rPr>
        <w:t xml:space="preserve">was optimized for implementation using Beckman-Coulter </w:t>
      </w:r>
      <w:proofErr w:type="spellStart"/>
      <w:r w:rsidRPr="002D00B2">
        <w:rPr>
          <w:rFonts w:ascii="Arial" w:hAnsi="Arial" w:cs="Arial"/>
        </w:rPr>
        <w:t>BioMek</w:t>
      </w:r>
      <w:proofErr w:type="spellEnd"/>
      <w:r w:rsidRPr="002D00B2">
        <w:rPr>
          <w:rFonts w:ascii="Arial" w:hAnsi="Arial" w:cs="Arial"/>
        </w:rPr>
        <w:t xml:space="preserve"> </w:t>
      </w:r>
      <w:proofErr w:type="spellStart"/>
      <w:r w:rsidRPr="002D00B2">
        <w:rPr>
          <w:rFonts w:ascii="Arial" w:hAnsi="Arial" w:cs="Arial"/>
        </w:rPr>
        <w:t>NXp</w:t>
      </w:r>
      <w:proofErr w:type="spellEnd"/>
      <w:r w:rsidRPr="002D00B2">
        <w:rPr>
          <w:rFonts w:ascii="Arial" w:hAnsi="Arial" w:cs="Arial"/>
        </w:rPr>
        <w:t xml:space="preserve"> and </w:t>
      </w:r>
      <w:proofErr w:type="spellStart"/>
      <w:r w:rsidRPr="002D00B2">
        <w:rPr>
          <w:rFonts w:ascii="Arial" w:hAnsi="Arial" w:cs="Arial"/>
        </w:rPr>
        <w:t>FXp</w:t>
      </w:r>
      <w:proofErr w:type="spellEnd"/>
      <w:r w:rsidRPr="002D00B2">
        <w:rPr>
          <w:rFonts w:ascii="Arial" w:hAnsi="Arial" w:cs="Arial"/>
        </w:rPr>
        <w:t xml:space="preserve"> liquid handling robotics for 96-well plates.  The optimized protocol </w:t>
      </w:r>
      <w:r>
        <w:rPr>
          <w:rFonts w:ascii="Arial" w:hAnsi="Arial" w:cs="Arial"/>
        </w:rPr>
        <w:t>uses smaller reaction volumes and</w:t>
      </w:r>
      <w:r w:rsidRPr="002D00B2">
        <w:rPr>
          <w:rFonts w:ascii="Arial" w:hAnsi="Arial" w:cs="Arial"/>
        </w:rPr>
        <w:t xml:space="preserve"> separate amplification of TCR alpha and beta chains</w:t>
      </w:r>
      <w:r>
        <w:rPr>
          <w:rFonts w:ascii="Arial" w:hAnsi="Arial" w:cs="Arial"/>
        </w:rPr>
        <w:t xml:space="preserve"> (to increase call rates)</w:t>
      </w:r>
      <w:r w:rsidRPr="002D00B2">
        <w:rPr>
          <w:rFonts w:ascii="Arial" w:hAnsi="Arial" w:cs="Arial"/>
        </w:rPr>
        <w:t xml:space="preserve">. RNA or </w:t>
      </w:r>
      <w:proofErr w:type="spellStart"/>
      <w:r w:rsidRPr="002D00B2">
        <w:rPr>
          <w:rFonts w:ascii="Arial" w:hAnsi="Arial" w:cs="Arial"/>
        </w:rPr>
        <w:t>cDNA</w:t>
      </w:r>
      <w:proofErr w:type="spellEnd"/>
      <w:r w:rsidRPr="002D00B2">
        <w:rPr>
          <w:rFonts w:ascii="Arial" w:hAnsi="Arial" w:cs="Arial"/>
        </w:rPr>
        <w:t xml:space="preserve"> spike-in controls are used for each plate for QC. A summary of the new work flow is shown in </w:t>
      </w:r>
      <w:r w:rsidRPr="002D00B2">
        <w:rPr>
          <w:rFonts w:ascii="Arial" w:hAnsi="Arial" w:cs="Arial"/>
          <w:b/>
        </w:rPr>
        <w:t>Figure 1</w:t>
      </w:r>
      <w:r w:rsidRPr="002D00B2">
        <w:rPr>
          <w:rFonts w:ascii="Arial" w:hAnsi="Arial" w:cs="Arial"/>
        </w:rPr>
        <w:t>. With the new protocol, the % of CDR3</w:t>
      </w:r>
      <w:r w:rsidRPr="00D9200B">
        <w:rPr>
          <w:rFonts w:ascii="Symbol" w:hAnsi="Symbol" w:cs="Arial"/>
        </w:rPr>
        <w:t></w:t>
      </w:r>
      <w:r w:rsidRPr="002D00B2">
        <w:rPr>
          <w:rFonts w:ascii="Arial" w:hAnsi="Arial" w:cs="Arial"/>
        </w:rPr>
        <w:t xml:space="preserve"> and CDR3</w:t>
      </w:r>
      <w:r w:rsidRPr="00D9200B">
        <w:rPr>
          <w:rFonts w:ascii="Symbol" w:hAnsi="Symbol" w:cs="Arial"/>
        </w:rPr>
        <w:t></w:t>
      </w:r>
      <w:r w:rsidRPr="002D00B2">
        <w:rPr>
          <w:rFonts w:ascii="Arial" w:hAnsi="Arial" w:cs="Arial"/>
        </w:rPr>
        <w:t xml:space="preserve"> calls could be increased to </w:t>
      </w:r>
      <w:r w:rsidR="00D9200B">
        <w:rPr>
          <w:rFonts w:ascii="Arial" w:hAnsi="Arial" w:cs="Arial"/>
        </w:rPr>
        <w:t xml:space="preserve">about </w:t>
      </w:r>
      <w:r w:rsidRPr="002D00B2">
        <w:rPr>
          <w:rFonts w:ascii="Arial" w:hAnsi="Arial" w:cs="Arial"/>
        </w:rPr>
        <w:t>70%</w:t>
      </w:r>
      <w:r w:rsidR="00D9200B">
        <w:rPr>
          <w:rFonts w:ascii="Arial" w:hAnsi="Arial" w:cs="Arial"/>
        </w:rPr>
        <w:t xml:space="preserve"> each</w:t>
      </w:r>
      <w:r w:rsidRPr="002D00B2">
        <w:rPr>
          <w:rFonts w:ascii="Arial" w:hAnsi="Arial" w:cs="Arial"/>
        </w:rPr>
        <w:t xml:space="preserve">. A comparative summary of </w:t>
      </w:r>
      <w:r w:rsidR="00407627">
        <w:rPr>
          <w:rFonts w:ascii="Arial" w:hAnsi="Arial" w:cs="Arial"/>
        </w:rPr>
        <w:t>the old and new protocols</w:t>
      </w:r>
      <w:r w:rsidRPr="002D00B2">
        <w:rPr>
          <w:rFonts w:ascii="Arial" w:hAnsi="Arial" w:cs="Arial"/>
        </w:rPr>
        <w:t xml:space="preserve"> is shown in </w:t>
      </w:r>
      <w:r w:rsidRPr="002D00B2">
        <w:rPr>
          <w:rFonts w:ascii="Arial" w:hAnsi="Arial" w:cs="Arial"/>
          <w:b/>
        </w:rPr>
        <w:t xml:space="preserve">Table </w:t>
      </w:r>
      <w:r w:rsidR="00407627">
        <w:rPr>
          <w:rFonts w:ascii="Arial" w:hAnsi="Arial" w:cs="Arial"/>
          <w:b/>
        </w:rPr>
        <w:t>3</w:t>
      </w:r>
      <w:r w:rsidRPr="002D00B2">
        <w:rPr>
          <w:rFonts w:ascii="Arial" w:hAnsi="Arial" w:cs="Arial"/>
        </w:rPr>
        <w:t>.</w:t>
      </w:r>
    </w:p>
    <w:p w:rsidR="007503C2" w:rsidRPr="002D00B2" w:rsidRDefault="007503C2" w:rsidP="002D00B2">
      <w:pPr>
        <w:tabs>
          <w:tab w:val="num" w:pos="720"/>
        </w:tabs>
        <w:jc w:val="both"/>
        <w:rPr>
          <w:rFonts w:ascii="Arial" w:hAnsi="Arial" w:cs="Arial"/>
          <w:bCs/>
        </w:rPr>
      </w:pPr>
    </w:p>
    <w:p w:rsidR="002D00B2" w:rsidRPr="002D00B2" w:rsidRDefault="000B32DA" w:rsidP="003E296A">
      <w:pPr>
        <w:tabs>
          <w:tab w:val="num" w:pos="720"/>
        </w:tabs>
        <w:ind w:left="-450" w:firstLine="450"/>
        <w:jc w:val="both"/>
        <w:rPr>
          <w:rFonts w:ascii="Arial" w:hAnsi="Arial" w:cs="Arial"/>
        </w:rPr>
      </w:pPr>
      <w:r>
        <w:rPr>
          <w:rFonts w:ascii="Arial" w:hAnsi="Arial" w:cs="Arial"/>
          <w:noProof/>
        </w:rPr>
      </w:r>
      <w:r>
        <w:rPr>
          <w:rFonts w:ascii="Arial" w:hAnsi="Arial" w:cs="Arial"/>
          <w:noProof/>
        </w:rPr>
        <w:pict>
          <v:shapetype id="_x0000_t202" coordsize="21600,21600" o:spt="202" path="m,l,21600r21600,l21600,xe">
            <v:stroke joinstyle="miter"/>
            <v:path gradientshapeok="t" o:connecttype="rect"/>
          </v:shapetype>
          <v:shape id="Text Box 19" o:spid="_x0000_s1039" type="#_x0000_t202" alt="Table 2.  Core phenotyping genes for scTCRseq.&#10;A list of genes expressed in T cell populations including transcription factors, cytokines, and lineage markers." style="width:113pt;height:250pt;visibility:visible;mso-position-horizontal-relative:char;mso-position-vertical-relative:line" filled="f" stroked="f" strokeweight=".5pt">
            <v:textbox>
              <w:txbxContent>
                <w:p w:rsidR="00DB4615" w:rsidRPr="00407627" w:rsidRDefault="00DB4615">
                  <w:pPr>
                    <w:rPr>
                      <w:rFonts w:ascii="Arial" w:hAnsi="Arial" w:cs="Arial"/>
                      <w:sz w:val="22"/>
                      <w:szCs w:val="22"/>
                    </w:rPr>
                  </w:pPr>
                  <w:r w:rsidRPr="00736A5E">
                    <w:rPr>
                      <w:rStyle w:val="Heading2Char"/>
                    </w:rPr>
                    <w:t>T</w:t>
                  </w:r>
                  <w:r w:rsidR="003E5482" w:rsidRPr="00736A5E">
                    <w:rPr>
                      <w:rStyle w:val="Heading2Char"/>
                    </w:rPr>
                    <w:t>able 2</w:t>
                  </w:r>
                  <w:r w:rsidRPr="00736A5E">
                    <w:rPr>
                      <w:rStyle w:val="Heading2Char"/>
                    </w:rPr>
                    <w:t>.</w:t>
                  </w:r>
                  <w:r w:rsidRPr="00407627">
                    <w:rPr>
                      <w:rFonts w:ascii="Arial" w:hAnsi="Arial" w:cs="Arial"/>
                      <w:sz w:val="22"/>
                      <w:szCs w:val="22"/>
                    </w:rPr>
                    <w:t xml:space="preserve">  </w:t>
                  </w:r>
                  <w:r w:rsidR="00305F07" w:rsidRPr="00407627">
                    <w:rPr>
                      <w:rFonts w:ascii="Arial" w:hAnsi="Arial" w:cs="Arial"/>
                      <w:sz w:val="22"/>
                      <w:szCs w:val="22"/>
                    </w:rPr>
                    <w:t xml:space="preserve">Core </w:t>
                  </w:r>
                  <w:proofErr w:type="spellStart"/>
                  <w:r w:rsidR="00305F07" w:rsidRPr="00407627">
                    <w:rPr>
                      <w:rFonts w:ascii="Arial" w:hAnsi="Arial" w:cs="Arial"/>
                      <w:sz w:val="22"/>
                      <w:szCs w:val="22"/>
                    </w:rPr>
                    <w:t>phenotyping</w:t>
                  </w:r>
                  <w:proofErr w:type="spellEnd"/>
                  <w:r w:rsidR="00305F07" w:rsidRPr="00407627">
                    <w:rPr>
                      <w:rFonts w:ascii="Arial" w:hAnsi="Arial" w:cs="Arial"/>
                      <w:sz w:val="22"/>
                      <w:szCs w:val="22"/>
                    </w:rPr>
                    <w:t xml:space="preserve"> genes for </w:t>
                  </w:r>
                  <w:proofErr w:type="spellStart"/>
                  <w:r w:rsidR="00305F07" w:rsidRPr="00407627">
                    <w:rPr>
                      <w:rFonts w:ascii="Arial" w:hAnsi="Arial" w:cs="Arial"/>
                      <w:sz w:val="22"/>
                      <w:szCs w:val="22"/>
                    </w:rPr>
                    <w:t>scTCRseq</w:t>
                  </w:r>
                  <w:proofErr w:type="spellEnd"/>
                  <w:r w:rsidRPr="00407627">
                    <w:rPr>
                      <w:rFonts w:ascii="Arial" w:hAnsi="Arial" w:cs="Arial"/>
                      <w:sz w:val="22"/>
                      <w:szCs w:val="22"/>
                    </w:rPr>
                    <w:t>.</w:t>
                  </w:r>
                </w:p>
                <w:p w:rsidR="00305F07" w:rsidRPr="002D00B2" w:rsidRDefault="00305F07">
                  <w:pPr>
                    <w:rPr>
                      <w:sz w:val="18"/>
                      <w:szCs w:val="18"/>
                    </w:rPr>
                  </w:pPr>
                </w:p>
                <w:p w:rsidR="00305F07" w:rsidRPr="002D00B2" w:rsidRDefault="00305F07" w:rsidP="00305F07">
                  <w:pPr>
                    <w:pStyle w:val="ListParagraph"/>
                    <w:numPr>
                      <w:ilvl w:val="0"/>
                      <w:numId w:val="2"/>
                    </w:numPr>
                    <w:rPr>
                      <w:sz w:val="18"/>
                      <w:szCs w:val="18"/>
                    </w:rPr>
                  </w:pPr>
                  <w:r w:rsidRPr="002D00B2">
                    <w:rPr>
                      <w:sz w:val="18"/>
                      <w:szCs w:val="18"/>
                    </w:rPr>
                    <w:t>FOXP3</w:t>
                  </w:r>
                </w:p>
                <w:p w:rsidR="00305F07" w:rsidRPr="002D00B2" w:rsidRDefault="00305F07" w:rsidP="00305F07">
                  <w:pPr>
                    <w:pStyle w:val="ListParagraph"/>
                    <w:numPr>
                      <w:ilvl w:val="0"/>
                      <w:numId w:val="2"/>
                    </w:numPr>
                    <w:rPr>
                      <w:sz w:val="18"/>
                      <w:szCs w:val="18"/>
                    </w:rPr>
                  </w:pPr>
                  <w:r w:rsidRPr="002D00B2">
                    <w:rPr>
                      <w:sz w:val="18"/>
                      <w:szCs w:val="18"/>
                    </w:rPr>
                    <w:t>GATA3</w:t>
                  </w:r>
                </w:p>
                <w:p w:rsidR="00305F07" w:rsidRPr="002D00B2" w:rsidRDefault="00305F07" w:rsidP="00305F07">
                  <w:pPr>
                    <w:pStyle w:val="ListParagraph"/>
                    <w:numPr>
                      <w:ilvl w:val="0"/>
                      <w:numId w:val="2"/>
                    </w:numPr>
                    <w:rPr>
                      <w:sz w:val="18"/>
                      <w:szCs w:val="18"/>
                    </w:rPr>
                  </w:pPr>
                  <w:r w:rsidRPr="002D00B2">
                    <w:rPr>
                      <w:sz w:val="18"/>
                      <w:szCs w:val="18"/>
                    </w:rPr>
                    <w:t>GZMB</w:t>
                  </w:r>
                </w:p>
                <w:p w:rsidR="00305F07" w:rsidRPr="002D00B2" w:rsidRDefault="00305F07" w:rsidP="00305F07">
                  <w:pPr>
                    <w:pStyle w:val="ListParagraph"/>
                    <w:numPr>
                      <w:ilvl w:val="0"/>
                      <w:numId w:val="2"/>
                    </w:numPr>
                    <w:rPr>
                      <w:sz w:val="18"/>
                      <w:szCs w:val="18"/>
                    </w:rPr>
                  </w:pPr>
                  <w:r w:rsidRPr="002D00B2">
                    <w:rPr>
                      <w:sz w:val="18"/>
                      <w:szCs w:val="18"/>
                    </w:rPr>
                    <w:t>IFNG</w:t>
                  </w:r>
                </w:p>
                <w:p w:rsidR="00305F07" w:rsidRPr="002D00B2" w:rsidRDefault="00305F07" w:rsidP="00305F07">
                  <w:pPr>
                    <w:pStyle w:val="ListParagraph"/>
                    <w:numPr>
                      <w:ilvl w:val="0"/>
                      <w:numId w:val="2"/>
                    </w:numPr>
                    <w:rPr>
                      <w:sz w:val="18"/>
                      <w:szCs w:val="18"/>
                    </w:rPr>
                  </w:pPr>
                  <w:r w:rsidRPr="002D00B2">
                    <w:rPr>
                      <w:sz w:val="18"/>
                      <w:szCs w:val="18"/>
                    </w:rPr>
                    <w:t>IL13</w:t>
                  </w:r>
                </w:p>
                <w:p w:rsidR="00305F07" w:rsidRPr="002D00B2" w:rsidRDefault="00305F07" w:rsidP="00305F07">
                  <w:pPr>
                    <w:pStyle w:val="ListParagraph"/>
                    <w:numPr>
                      <w:ilvl w:val="0"/>
                      <w:numId w:val="2"/>
                    </w:numPr>
                    <w:rPr>
                      <w:sz w:val="18"/>
                      <w:szCs w:val="18"/>
                    </w:rPr>
                  </w:pPr>
                  <w:r w:rsidRPr="002D00B2">
                    <w:rPr>
                      <w:sz w:val="18"/>
                      <w:szCs w:val="18"/>
                    </w:rPr>
                    <w:t>IL17A</w:t>
                  </w:r>
                </w:p>
                <w:p w:rsidR="00305F07" w:rsidRPr="002D00B2" w:rsidRDefault="00305F07" w:rsidP="00305F07">
                  <w:pPr>
                    <w:pStyle w:val="ListParagraph"/>
                    <w:numPr>
                      <w:ilvl w:val="0"/>
                      <w:numId w:val="2"/>
                    </w:numPr>
                    <w:rPr>
                      <w:sz w:val="18"/>
                      <w:szCs w:val="18"/>
                    </w:rPr>
                  </w:pPr>
                  <w:r w:rsidRPr="002D00B2">
                    <w:rPr>
                      <w:sz w:val="18"/>
                      <w:szCs w:val="18"/>
                    </w:rPr>
                    <w:t>IL21</w:t>
                  </w:r>
                </w:p>
                <w:p w:rsidR="00305F07" w:rsidRPr="002D00B2" w:rsidRDefault="00305F07" w:rsidP="00305F07">
                  <w:pPr>
                    <w:pStyle w:val="ListParagraph"/>
                    <w:numPr>
                      <w:ilvl w:val="0"/>
                      <w:numId w:val="2"/>
                    </w:numPr>
                    <w:rPr>
                      <w:sz w:val="18"/>
                      <w:szCs w:val="18"/>
                    </w:rPr>
                  </w:pPr>
                  <w:r w:rsidRPr="002D00B2">
                    <w:rPr>
                      <w:sz w:val="18"/>
                      <w:szCs w:val="18"/>
                    </w:rPr>
                    <w:t>IL2</w:t>
                  </w:r>
                </w:p>
                <w:p w:rsidR="00305F07" w:rsidRPr="002D00B2" w:rsidRDefault="00305F07" w:rsidP="00305F07">
                  <w:pPr>
                    <w:pStyle w:val="ListParagraph"/>
                    <w:numPr>
                      <w:ilvl w:val="0"/>
                      <w:numId w:val="2"/>
                    </w:numPr>
                    <w:rPr>
                      <w:sz w:val="18"/>
                      <w:szCs w:val="18"/>
                    </w:rPr>
                  </w:pPr>
                  <w:r w:rsidRPr="002D00B2">
                    <w:rPr>
                      <w:sz w:val="18"/>
                      <w:szCs w:val="18"/>
                    </w:rPr>
                    <w:t>IL4</w:t>
                  </w:r>
                </w:p>
                <w:p w:rsidR="00305F07" w:rsidRPr="002D00B2" w:rsidRDefault="00305F07" w:rsidP="00305F07">
                  <w:pPr>
                    <w:pStyle w:val="ListParagraph"/>
                    <w:numPr>
                      <w:ilvl w:val="0"/>
                      <w:numId w:val="2"/>
                    </w:numPr>
                    <w:rPr>
                      <w:sz w:val="18"/>
                      <w:szCs w:val="18"/>
                    </w:rPr>
                  </w:pPr>
                  <w:r w:rsidRPr="002D00B2">
                    <w:rPr>
                      <w:sz w:val="18"/>
                      <w:szCs w:val="18"/>
                    </w:rPr>
                    <w:t>IL5</w:t>
                  </w:r>
                </w:p>
                <w:p w:rsidR="00305F07" w:rsidRPr="002D00B2" w:rsidRDefault="00305F07" w:rsidP="00305F07">
                  <w:pPr>
                    <w:pStyle w:val="ListParagraph"/>
                    <w:numPr>
                      <w:ilvl w:val="0"/>
                      <w:numId w:val="2"/>
                    </w:numPr>
                    <w:rPr>
                      <w:sz w:val="18"/>
                      <w:szCs w:val="18"/>
                    </w:rPr>
                  </w:pPr>
                  <w:r w:rsidRPr="002D00B2">
                    <w:rPr>
                      <w:sz w:val="18"/>
                      <w:szCs w:val="18"/>
                    </w:rPr>
                    <w:t>PERF</w:t>
                  </w:r>
                </w:p>
                <w:p w:rsidR="00305F07" w:rsidRPr="002D00B2" w:rsidRDefault="00305F07" w:rsidP="00305F07">
                  <w:pPr>
                    <w:pStyle w:val="ListParagraph"/>
                    <w:numPr>
                      <w:ilvl w:val="0"/>
                      <w:numId w:val="2"/>
                    </w:numPr>
                    <w:rPr>
                      <w:sz w:val="18"/>
                      <w:szCs w:val="18"/>
                    </w:rPr>
                  </w:pPr>
                  <w:r w:rsidRPr="002D00B2">
                    <w:rPr>
                      <w:sz w:val="18"/>
                      <w:szCs w:val="18"/>
                    </w:rPr>
                    <w:t>RORC</w:t>
                  </w:r>
                </w:p>
                <w:p w:rsidR="00305F07" w:rsidRPr="002D00B2" w:rsidRDefault="00305F07" w:rsidP="00305F07">
                  <w:pPr>
                    <w:pStyle w:val="ListParagraph"/>
                    <w:numPr>
                      <w:ilvl w:val="0"/>
                      <w:numId w:val="2"/>
                    </w:numPr>
                    <w:rPr>
                      <w:sz w:val="18"/>
                      <w:szCs w:val="18"/>
                    </w:rPr>
                  </w:pPr>
                  <w:r w:rsidRPr="002D00B2">
                    <w:rPr>
                      <w:sz w:val="18"/>
                      <w:szCs w:val="18"/>
                    </w:rPr>
                    <w:t>RUNX1</w:t>
                  </w:r>
                </w:p>
                <w:p w:rsidR="00305F07" w:rsidRPr="002D00B2" w:rsidRDefault="00305F07" w:rsidP="00305F07">
                  <w:pPr>
                    <w:pStyle w:val="ListParagraph"/>
                    <w:numPr>
                      <w:ilvl w:val="0"/>
                      <w:numId w:val="2"/>
                    </w:numPr>
                    <w:rPr>
                      <w:sz w:val="18"/>
                      <w:szCs w:val="18"/>
                    </w:rPr>
                  </w:pPr>
                  <w:r w:rsidRPr="002D00B2">
                    <w:rPr>
                      <w:sz w:val="18"/>
                      <w:szCs w:val="18"/>
                    </w:rPr>
                    <w:t>RUNX3</w:t>
                  </w:r>
                </w:p>
                <w:p w:rsidR="00305F07" w:rsidRPr="002D00B2" w:rsidRDefault="00305F07" w:rsidP="00305F07">
                  <w:pPr>
                    <w:pStyle w:val="ListParagraph"/>
                    <w:numPr>
                      <w:ilvl w:val="0"/>
                      <w:numId w:val="2"/>
                    </w:numPr>
                    <w:rPr>
                      <w:sz w:val="18"/>
                      <w:szCs w:val="18"/>
                    </w:rPr>
                  </w:pPr>
                  <w:r w:rsidRPr="002D00B2">
                    <w:rPr>
                      <w:sz w:val="18"/>
                      <w:szCs w:val="18"/>
                    </w:rPr>
                    <w:t>TBET</w:t>
                  </w:r>
                </w:p>
                <w:p w:rsidR="00305F07" w:rsidRPr="002D00B2" w:rsidRDefault="00305F07" w:rsidP="00305F07">
                  <w:pPr>
                    <w:pStyle w:val="ListParagraph"/>
                    <w:numPr>
                      <w:ilvl w:val="0"/>
                      <w:numId w:val="2"/>
                    </w:numPr>
                    <w:rPr>
                      <w:sz w:val="18"/>
                      <w:szCs w:val="18"/>
                    </w:rPr>
                  </w:pPr>
                  <w:r w:rsidRPr="002D00B2">
                    <w:rPr>
                      <w:sz w:val="18"/>
                      <w:szCs w:val="18"/>
                    </w:rPr>
                    <w:t>TGFB</w:t>
                  </w:r>
                </w:p>
                <w:p w:rsidR="00305F07" w:rsidRPr="002D00B2" w:rsidRDefault="00305F07" w:rsidP="00305F07">
                  <w:pPr>
                    <w:pStyle w:val="ListParagraph"/>
                    <w:numPr>
                      <w:ilvl w:val="0"/>
                      <w:numId w:val="2"/>
                    </w:numPr>
                    <w:rPr>
                      <w:sz w:val="18"/>
                      <w:szCs w:val="18"/>
                    </w:rPr>
                  </w:pPr>
                  <w:r w:rsidRPr="002D00B2">
                    <w:rPr>
                      <w:sz w:val="18"/>
                      <w:szCs w:val="18"/>
                    </w:rPr>
                    <w:t>TNF</w:t>
                  </w:r>
                </w:p>
              </w:txbxContent>
            </v:textbox>
            <w10:wrap type="none"/>
            <w10:anchorlock/>
          </v:shape>
        </w:pict>
      </w:r>
      <w:r>
        <w:rPr>
          <w:rFonts w:ascii="Arial" w:hAnsi="Arial" w:cs="Arial"/>
          <w:noProof/>
        </w:rPr>
      </w:r>
      <w:r>
        <w:rPr>
          <w:rFonts w:ascii="Arial" w:hAnsi="Arial" w:cs="Arial"/>
          <w:noProof/>
        </w:rPr>
        <w:pict>
          <v:group id="Group 5" o:spid="_x0000_s1027" alt="Figure 1. A diagram representing the TCR and cytokines RNA-seq workflow with the new, optimized protocol.&#10;" style="width:369.15pt;height:250pt;mso-position-horizontal-relative:char;mso-position-vertical-relative:line" coordorigin="-6589" coordsize="35666,21037">
            <v:shape id="Text Box 6" o:spid="_x0000_s1028" type="#_x0000_t202" style="position:absolute;left:-6589;top:18837;width:35337;height:220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" filled="f" stroked="f">
              <v:textbox>
                <w:txbxContent>
                  <w:p w:rsidR="002D00B2" w:rsidRPr="00407627" w:rsidRDefault="002D00B2" w:rsidP="002D00B2">
                    <w:pPr>
                      <w:rPr>
                        <w:rFonts w:ascii="Arial" w:hAnsi="Arial" w:cs="Arial"/>
                        <w:sz w:val="22"/>
                        <w:szCs w:val="22"/>
                      </w:rPr>
                    </w:pPr>
                    <w:r w:rsidRPr="00736A5E">
                      <w:rPr>
                        <w:rStyle w:val="Heading2Char"/>
                      </w:rPr>
                      <w:t>Figure 1.</w:t>
                    </w:r>
                    <w:r w:rsidRPr="00407627">
                      <w:rPr>
                        <w:rFonts w:ascii="Arial" w:hAnsi="Arial" w:cs="Arial"/>
                        <w:bCs/>
                        <w:sz w:val="22"/>
                        <w:szCs w:val="22"/>
                      </w:rPr>
                      <w:t xml:space="preserve"> TCR and cytokines </w:t>
                    </w:r>
                    <w:proofErr w:type="spellStart"/>
                    <w:r w:rsidRPr="00407627">
                      <w:rPr>
                        <w:rFonts w:ascii="Arial" w:hAnsi="Arial" w:cs="Arial"/>
                        <w:bCs/>
                        <w:sz w:val="22"/>
                        <w:szCs w:val="22"/>
                      </w:rPr>
                      <w:t>RNAseq</w:t>
                    </w:r>
                    <w:proofErr w:type="spellEnd"/>
                    <w:r w:rsidRPr="00407627">
                      <w:rPr>
                        <w:rFonts w:ascii="Arial" w:hAnsi="Arial" w:cs="Arial"/>
                        <w:bCs/>
                        <w:sz w:val="22"/>
                        <w:szCs w:val="22"/>
                      </w:rPr>
                      <w:t xml:space="preserve"> workflow with new protocol.</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9" type="#_x0000_t75" style="position:absolute;left:-6589;width:35665;height:181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">
              <v:imagedata r:id="rId8" o:title=""/>
            </v:shape>
            <w10:wrap type="none"/>
            <w10:anchorlock/>
          </v:group>
        </w:pict>
      </w:r>
    </w:p>
    <w:p w:rsidR="00CB2B9E" w:rsidRDefault="00CB2B9E" w:rsidP="00CB2B9E">
      <w:pPr>
        <w:rPr>
          <w:rFonts w:ascii="Arial" w:hAnsi="Arial" w:cs="Arial"/>
          <w:b/>
          <w:sz w:val="22"/>
          <w:szCs w:val="22"/>
        </w:rPr>
      </w:pPr>
    </w:p>
    <w:p w:rsidR="007503C2" w:rsidRDefault="00CB2B9E" w:rsidP="007503C2">
      <w:pPr>
        <w:spacing w:after="120"/>
        <w:rPr>
          <w:noProof/>
        </w:rPr>
      </w:pPr>
      <w:r w:rsidRPr="00736A5E">
        <w:rPr>
          <w:rStyle w:val="Heading2Char"/>
        </w:rPr>
        <w:t>Table 3.</w:t>
      </w:r>
      <w:r w:rsidRPr="006C1E0A">
        <w:rPr>
          <w:rFonts w:ascii="Arial" w:hAnsi="Arial" w:cs="Arial"/>
          <w:sz w:val="22"/>
          <w:szCs w:val="22"/>
        </w:rPr>
        <w:t xml:space="preserve"> TCR alpha and beta chain call rate (number of wells with assigned CDR3) in old HIMC </w:t>
      </w:r>
      <w:proofErr w:type="spellStart"/>
      <w:r w:rsidRPr="006C1E0A">
        <w:rPr>
          <w:rFonts w:ascii="Arial" w:hAnsi="Arial" w:cs="Arial"/>
          <w:sz w:val="22"/>
          <w:szCs w:val="22"/>
        </w:rPr>
        <w:t>vs</w:t>
      </w:r>
      <w:proofErr w:type="spellEnd"/>
      <w:r w:rsidRPr="006C1E0A">
        <w:rPr>
          <w:rFonts w:ascii="Arial" w:hAnsi="Arial" w:cs="Arial"/>
          <w:sz w:val="22"/>
          <w:szCs w:val="22"/>
        </w:rPr>
        <w:t xml:space="preserve"> new </w:t>
      </w:r>
      <w:proofErr w:type="spellStart"/>
      <w:r w:rsidRPr="006C1E0A">
        <w:rPr>
          <w:rFonts w:ascii="Arial" w:hAnsi="Arial" w:cs="Arial"/>
          <w:sz w:val="22"/>
          <w:szCs w:val="22"/>
        </w:rPr>
        <w:t>scTCR</w:t>
      </w:r>
      <w:proofErr w:type="spellEnd"/>
      <w:r w:rsidRPr="006C1E0A">
        <w:rPr>
          <w:rFonts w:ascii="Arial" w:hAnsi="Arial" w:cs="Arial"/>
          <w:sz w:val="22"/>
          <w:szCs w:val="22"/>
        </w:rPr>
        <w:t xml:space="preserve"> </w:t>
      </w:r>
      <w:proofErr w:type="spellStart"/>
      <w:r w:rsidRPr="006C1E0A">
        <w:rPr>
          <w:rFonts w:ascii="Arial" w:hAnsi="Arial" w:cs="Arial"/>
          <w:sz w:val="22"/>
          <w:szCs w:val="22"/>
        </w:rPr>
        <w:t>seq</w:t>
      </w:r>
      <w:proofErr w:type="spellEnd"/>
      <w:r w:rsidRPr="006C1E0A">
        <w:rPr>
          <w:rFonts w:ascii="Arial" w:hAnsi="Arial" w:cs="Arial"/>
          <w:sz w:val="22"/>
          <w:szCs w:val="22"/>
        </w:rPr>
        <w:t xml:space="preserve"> protocol.</w:t>
      </w:r>
      <w:r w:rsidR="003E296A" w:rsidRPr="003E296A">
        <w:rPr>
          <w:noProof/>
        </w:rPr>
        <w:t xml:space="preserve"> </w:t>
      </w:r>
    </w:p>
    <w:p w:rsidR="00CB2B9E" w:rsidRPr="006C1E0A" w:rsidRDefault="003E296A" w:rsidP="007503C2">
      <w:pPr>
        <w:spacing w:after="120"/>
        <w:rPr>
          <w:rFonts w:ascii="Arial" w:hAnsi="Arial" w:cs="Arial"/>
          <w:sz w:val="22"/>
          <w:szCs w:val="22"/>
        </w:rPr>
      </w:pPr>
      <w:r>
        <w:rPr>
          <w:noProof/>
        </w:rPr>
        <w:lastRenderedPageBreak/>
        <w:drawing>
          <wp:inline distT="0" distB="0" distL="0" distR="0">
            <wp:extent cx="6107430" cy="1469945"/>
            <wp:effectExtent l="0" t="0" r="0" b="0"/>
            <wp:docPr id="14" name="Picture 14" descr="Comparison of call rates for TCR alpha and beta chains in the original Han et al protocol versus the revised protocol. Two tables show TCR call rate percentages for CDR3, one for the old protocol and one for the new protocol, with improved call rate percentages shown for the new proto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omparison of call rates for TCR alpha and beta chains in the original Han et al protocol versus the revised protocol. Two tables show TCR call rate percentages for CDR3, one for the old protocol and one for the new protocol, with improved call rate percentages shown for the new protocol."/>
                    <pic:cNvPicPr>
                      <a:picLocks noChangeAspect="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6107430" cy="1469945"/>
                    </a:xfrm>
                    <a:prstGeom prst="rect">
                      <a:avLst/>
                    </a:prstGeom>
                  </pic:spPr>
                </pic:pic>
              </a:graphicData>
            </a:graphic>
          </wp:inline>
        </w:drawing>
      </w:r>
    </w:p>
    <w:p w:rsidR="002D00B2" w:rsidRDefault="00066270" w:rsidP="00E975C5">
      <w:pPr>
        <w:jc w:val="both"/>
        <w:rPr>
          <w:rFonts w:ascii="Arial" w:hAnsi="Arial" w:cs="Arial"/>
        </w:rPr>
      </w:pPr>
      <w:r>
        <w:rPr>
          <w:rFonts w:ascii="Arial" w:hAnsi="Arial" w:cs="Arial"/>
        </w:rPr>
        <w:t xml:space="preserve">A comparison of the results from </w:t>
      </w:r>
      <w:proofErr w:type="spellStart"/>
      <w:r>
        <w:rPr>
          <w:rFonts w:ascii="Arial" w:hAnsi="Arial" w:cs="Arial"/>
        </w:rPr>
        <w:t>phenotyping</w:t>
      </w:r>
      <w:proofErr w:type="spellEnd"/>
      <w:r>
        <w:rPr>
          <w:rFonts w:ascii="Arial" w:hAnsi="Arial" w:cs="Arial"/>
        </w:rPr>
        <w:t xml:space="preserve"> genes between the two protocols is shown in </w:t>
      </w:r>
      <w:r w:rsidRPr="00FD2DB5">
        <w:rPr>
          <w:rFonts w:ascii="Arial" w:hAnsi="Arial" w:cs="Arial"/>
          <w:b/>
        </w:rPr>
        <w:t>Figure 2</w:t>
      </w:r>
      <w:r>
        <w:rPr>
          <w:rFonts w:ascii="Arial" w:hAnsi="Arial" w:cs="Arial"/>
        </w:rPr>
        <w:t>.</w:t>
      </w:r>
    </w:p>
    <w:p w:rsidR="00066270" w:rsidRPr="003C102E" w:rsidRDefault="00066270" w:rsidP="008820DA">
      <w:pPr>
        <w:rPr>
          <w:rFonts w:ascii="Arial" w:hAnsi="Arial" w:cs="Arial"/>
        </w:rPr>
      </w:pPr>
    </w:p>
    <w:p w:rsidR="003C102E" w:rsidRDefault="000B32DA" w:rsidP="008820DA">
      <w:pPr>
        <w:rPr>
          <w:rFonts w:ascii="Arial" w:hAnsi="Arial" w:cs="Arial"/>
          <w:b/>
        </w:rPr>
      </w:pPr>
      <w:r>
        <w:rPr>
          <w:rFonts w:ascii="Arial" w:hAnsi="Arial" w:cs="Arial"/>
          <w:b/>
          <w:noProof/>
        </w:rPr>
        <w:pict>
          <v:line id="Straight Connector 25" o:spid="_x0000_s1026" alt="&quot;&quot;" style="position:absolute;flip:y;z-index:251666432;visibility:visible;mso-height-relative:margin" from="235.25pt,13.85pt" to="235.25pt,3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" strokecolor="#ffc000 [3207]" strokeweight="1.5pt">
            <v:stroke joinstyle="miter"/>
          </v:line>
        </w:pict>
      </w:r>
      <w:r>
        <w:rPr>
          <w:rFonts w:ascii="Arial" w:hAnsi="Arial" w:cs="Arial"/>
          <w:b/>
          <w:noProof/>
        </w:rPr>
      </w:r>
      <w:r>
        <w:rPr>
          <w:rFonts w:ascii="Arial" w:hAnsi="Arial" w:cs="Arial"/>
          <w:b/>
          <w:noProof/>
        </w:rPr>
        <w:pict>
          <v:shape id="Text Box 20" o:spid="_x0000_s1038" type="#_x0000_t202" style="width:476.2pt;height:400.65pt;visibility:visible;mso-position-horizontal-relative:char;mso-position-vertical-relative:line" fillcolor="white [3201]" stroked="f" strokeweight=".5pt">
            <v:textbox>
              <w:txbxContent>
                <w:p w:rsidR="009A3A72" w:rsidRDefault="00066270">
                  <w:r w:rsidRPr="00066270">
                    <w:rPr>
                      <w:noProof/>
                    </w:rPr>
                    <w:drawing>
                      <wp:inline distT="0" distB="0" distL="0" distR="0">
                        <wp:extent cx="5857875" cy="4293870"/>
                        <wp:effectExtent l="0" t="0" r="0" b="0"/>
                        <wp:docPr id="15" name="Picture 4" descr="Heatmap comparing old and new protocols' phenotyping gene calls, with left half showing calls for the old protocol, and right half showing calls for the new proto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4" descr="Heatmap comparing old and new protocols' phenotyping gene calls, with left half showing calls for the old protocol, and right half showing calls for the new protocol."/>
                                <pic:cNvPicPr>
                                  <a:picLocks noChangeAspect="1"/>
                                </pic:cNvPicPr>
                              </pic:nvPicPr>
                              <pic:blipFill>
                                <a:blip r:embed="rId10"/>
                                <a:stretch>
                                  <a:fillRect/>
                                </a:stretch>
                              </pic:blipFill>
                              <pic:spPr>
                                <a:xfrm>
                                  <a:off x="0" y="0"/>
                                  <a:ext cx="5857875" cy="4293870"/>
                                </a:xfrm>
                                <a:prstGeom prst="rect">
                                  <a:avLst/>
                                </a:prstGeom>
                              </pic:spPr>
                            </pic:pic>
                          </a:graphicData>
                        </a:graphic>
                      </wp:inline>
                    </w:drawing>
                  </w:r>
                </w:p>
                <w:p w:rsidR="009A3A72" w:rsidRDefault="009A3A72">
                  <w:pPr>
                    <w:rPr>
                      <w:rFonts w:ascii="Arial" w:hAnsi="Arial" w:cs="Arial"/>
                      <w:b/>
                    </w:rPr>
                  </w:pPr>
                </w:p>
                <w:p w:rsidR="009A3A72" w:rsidRPr="006C1E0A" w:rsidRDefault="009A3A72">
                  <w:pPr>
                    <w:rPr>
                      <w:rFonts w:ascii="Arial" w:hAnsi="Arial" w:cs="Arial"/>
                      <w:sz w:val="22"/>
                      <w:szCs w:val="22"/>
                    </w:rPr>
                  </w:pPr>
                  <w:r w:rsidRPr="00736A5E">
                    <w:rPr>
                      <w:rStyle w:val="Heading2Char"/>
                    </w:rPr>
                    <w:t xml:space="preserve">Figure </w:t>
                  </w:r>
                  <w:r w:rsidR="00066270" w:rsidRPr="00736A5E">
                    <w:rPr>
                      <w:rStyle w:val="Heading2Char"/>
                    </w:rPr>
                    <w:t>2</w:t>
                  </w:r>
                  <w:r w:rsidRPr="00736A5E">
                    <w:rPr>
                      <w:rStyle w:val="Heading2Char"/>
                    </w:rPr>
                    <w:t>.</w:t>
                  </w:r>
                  <w:r w:rsidRPr="006C1E0A">
                    <w:rPr>
                      <w:rFonts w:ascii="Arial" w:hAnsi="Arial" w:cs="Arial"/>
                      <w:sz w:val="22"/>
                      <w:szCs w:val="22"/>
                    </w:rPr>
                    <w:t xml:space="preserve">  </w:t>
                  </w:r>
                  <w:r w:rsidR="00066270" w:rsidRPr="006C1E0A">
                    <w:rPr>
                      <w:rFonts w:ascii="Arial" w:hAnsi="Arial" w:cs="Arial"/>
                      <w:sz w:val="22"/>
                      <w:szCs w:val="22"/>
                    </w:rPr>
                    <w:t xml:space="preserve">Comparison of </w:t>
                  </w:r>
                  <w:proofErr w:type="spellStart"/>
                  <w:r w:rsidR="00066270" w:rsidRPr="006C1E0A">
                    <w:rPr>
                      <w:rFonts w:ascii="Arial" w:hAnsi="Arial" w:cs="Arial"/>
                      <w:sz w:val="22"/>
                      <w:szCs w:val="22"/>
                    </w:rPr>
                    <w:t>phenotyping</w:t>
                  </w:r>
                  <w:proofErr w:type="spellEnd"/>
                  <w:r w:rsidR="00066270" w:rsidRPr="006C1E0A">
                    <w:rPr>
                      <w:rFonts w:ascii="Arial" w:hAnsi="Arial" w:cs="Arial"/>
                      <w:sz w:val="22"/>
                      <w:szCs w:val="22"/>
                    </w:rPr>
                    <w:t xml:space="preserve"> gene calls on single PBMC processed by the original (left half) and optimized (right half) </w:t>
                  </w:r>
                  <w:proofErr w:type="spellStart"/>
                  <w:r w:rsidR="00066270" w:rsidRPr="006C1E0A">
                    <w:rPr>
                      <w:rFonts w:ascii="Arial" w:hAnsi="Arial" w:cs="Arial"/>
                      <w:sz w:val="22"/>
                      <w:szCs w:val="22"/>
                    </w:rPr>
                    <w:t>scTCRseq</w:t>
                  </w:r>
                  <w:proofErr w:type="spellEnd"/>
                  <w:r w:rsidR="00066270" w:rsidRPr="006C1E0A">
                    <w:rPr>
                      <w:rFonts w:ascii="Arial" w:hAnsi="Arial" w:cs="Arial"/>
                      <w:sz w:val="22"/>
                      <w:szCs w:val="22"/>
                    </w:rPr>
                    <w:t xml:space="preserve"> protocols.</w:t>
                  </w:r>
                </w:p>
              </w:txbxContent>
            </v:textbox>
            <w10:wrap type="none"/>
            <w10:anchorlock/>
          </v:shape>
        </w:pict>
      </w:r>
    </w:p>
    <w:p w:rsidR="008F2E9F" w:rsidRDefault="00BC1AA6" w:rsidP="00E975C5">
      <w:pPr>
        <w:jc w:val="both"/>
        <w:rPr>
          <w:rFonts w:ascii="Arial" w:hAnsi="Arial" w:cs="Arial"/>
        </w:rPr>
      </w:pPr>
      <w:r w:rsidRPr="003E296A">
        <w:rPr>
          <w:rFonts w:ascii="Arial" w:hAnsi="Arial" w:cs="Arial"/>
          <w:color w:val="C00000"/>
        </w:rPr>
        <w:t>While not shown in Figure 2, each plate is run with at least two wells dedicated to a low-concentration RNA spike-in (to control for the primers and amplification steps), and two empty wells (to control for cross-contamination).</w:t>
      </w:r>
    </w:p>
    <w:p w:rsidR="00BC1AA6" w:rsidRPr="00BC1AA6" w:rsidRDefault="00BC1AA6" w:rsidP="008820DA">
      <w:pPr>
        <w:rPr>
          <w:rFonts w:ascii="Arial" w:hAnsi="Arial" w:cs="Arial"/>
        </w:rPr>
      </w:pPr>
    </w:p>
    <w:p w:rsidR="00E975C5" w:rsidRDefault="00E975C5">
      <w:pPr>
        <w:rPr>
          <w:rFonts w:ascii="Arial" w:hAnsi="Arial" w:cs="Arial"/>
          <w:b/>
        </w:rPr>
      </w:pPr>
      <w:r>
        <w:rPr>
          <w:rFonts w:ascii="Arial" w:hAnsi="Arial" w:cs="Arial"/>
          <w:b/>
        </w:rPr>
        <w:lastRenderedPageBreak/>
        <w:br w:type="page"/>
      </w:r>
    </w:p>
    <w:p w:rsidR="00736A5E" w:rsidRPr="00736A5E" w:rsidRDefault="00175FB5" w:rsidP="00736A5E">
      <w:pPr>
        <w:pStyle w:val="Heading1"/>
      </w:pPr>
      <w:r w:rsidRPr="00736A5E">
        <w:rPr>
          <w:rStyle w:val="Heading1Char"/>
          <w:b/>
        </w:rPr>
        <w:lastRenderedPageBreak/>
        <w:t xml:space="preserve">2. </w:t>
      </w:r>
      <w:r w:rsidR="00762550" w:rsidRPr="00736A5E">
        <w:rPr>
          <w:rStyle w:val="Heading1Char"/>
          <w:b/>
        </w:rPr>
        <w:t>Accuracy.</w:t>
      </w:r>
    </w:p>
    <w:p w:rsidR="00762550" w:rsidRDefault="00762550" w:rsidP="00E975C5">
      <w:pPr>
        <w:jc w:val="both"/>
        <w:rPr>
          <w:rFonts w:ascii="Arial" w:hAnsi="Arial" w:cs="Arial"/>
        </w:rPr>
      </w:pPr>
      <w:r>
        <w:rPr>
          <w:rFonts w:ascii="Arial" w:hAnsi="Arial" w:cs="Arial"/>
        </w:rPr>
        <w:t xml:space="preserve">The accuracy of TCR gene sequencing is entirely a function of sequencing read quality.  We routinely use the </w:t>
      </w:r>
      <w:proofErr w:type="spellStart"/>
      <w:r>
        <w:rPr>
          <w:rFonts w:ascii="Arial" w:hAnsi="Arial" w:cs="Arial"/>
        </w:rPr>
        <w:t>Illumina</w:t>
      </w:r>
      <w:proofErr w:type="spellEnd"/>
      <w:r>
        <w:rPr>
          <w:rFonts w:ascii="Arial" w:hAnsi="Arial" w:cs="Arial"/>
        </w:rPr>
        <w:t xml:space="preserve"> </w:t>
      </w:r>
      <w:proofErr w:type="spellStart"/>
      <w:r>
        <w:rPr>
          <w:rFonts w:ascii="Arial" w:hAnsi="Arial" w:cs="Arial"/>
        </w:rPr>
        <w:t>MiSeq</w:t>
      </w:r>
      <w:proofErr w:type="spellEnd"/>
      <w:r>
        <w:rPr>
          <w:rFonts w:ascii="Arial" w:hAnsi="Arial" w:cs="Arial"/>
        </w:rPr>
        <w:t xml:space="preserve"> instrument, with v2 reagent kits for 2 x 250 </w:t>
      </w:r>
      <w:proofErr w:type="spellStart"/>
      <w:r>
        <w:rPr>
          <w:rFonts w:ascii="Arial" w:hAnsi="Arial" w:cs="Arial"/>
        </w:rPr>
        <w:t>bp</w:t>
      </w:r>
      <w:proofErr w:type="spellEnd"/>
      <w:r>
        <w:rPr>
          <w:rFonts w:ascii="Arial" w:hAnsi="Arial" w:cs="Arial"/>
        </w:rPr>
        <w:t xml:space="preserve"> reads.  This </w:t>
      </w:r>
      <w:r w:rsidR="00B4329C">
        <w:rPr>
          <w:rFonts w:ascii="Arial" w:hAnsi="Arial" w:cs="Arial"/>
        </w:rPr>
        <w:t>combination</w:t>
      </w:r>
      <w:r>
        <w:rPr>
          <w:rFonts w:ascii="Arial" w:hAnsi="Arial" w:cs="Arial"/>
        </w:rPr>
        <w:t xml:space="preserve"> yields &gt;75% of bases with higher than Q=30 quality score, where Q=-10log</w:t>
      </w:r>
      <w:r w:rsidRPr="00762550">
        <w:rPr>
          <w:rFonts w:ascii="Arial" w:hAnsi="Arial" w:cs="Arial"/>
          <w:vertAlign w:val="subscript"/>
        </w:rPr>
        <w:t>10</w:t>
      </w:r>
      <w:r>
        <w:rPr>
          <w:rFonts w:ascii="Arial" w:hAnsi="Arial" w:cs="Arial"/>
        </w:rPr>
        <w:t xml:space="preserve">(e), and e is the estimated probability of an incorrect base call.  This </w:t>
      </w:r>
      <w:r w:rsidR="00294C79">
        <w:rPr>
          <w:rFonts w:ascii="Arial" w:hAnsi="Arial" w:cs="Arial"/>
        </w:rPr>
        <w:t xml:space="preserve">in turn </w:t>
      </w:r>
      <w:r>
        <w:rPr>
          <w:rFonts w:ascii="Arial" w:hAnsi="Arial" w:cs="Arial"/>
        </w:rPr>
        <w:t>corresponds to an accuracy of base calling of 99.9%.  Since our informatics pipeline requires multiple TCR reads with a dominant sequence at 80% or greater, this means that accuracy of the dominant sequence is effectively 100%.</w:t>
      </w:r>
    </w:p>
    <w:p w:rsidR="00762550" w:rsidRDefault="00762550" w:rsidP="00E975C5">
      <w:pPr>
        <w:jc w:val="both"/>
        <w:rPr>
          <w:rFonts w:ascii="Arial" w:hAnsi="Arial" w:cs="Arial"/>
        </w:rPr>
      </w:pPr>
    </w:p>
    <w:p w:rsidR="00762550" w:rsidRDefault="00762550" w:rsidP="00E975C5">
      <w:pPr>
        <w:jc w:val="both"/>
        <w:rPr>
          <w:rFonts w:ascii="Arial" w:hAnsi="Arial" w:cs="Arial"/>
        </w:rPr>
      </w:pPr>
      <w:r>
        <w:rPr>
          <w:rFonts w:ascii="Arial" w:hAnsi="Arial" w:cs="Arial"/>
        </w:rPr>
        <w:t xml:space="preserve">Accuracy of </w:t>
      </w:r>
      <w:proofErr w:type="spellStart"/>
      <w:r>
        <w:rPr>
          <w:rFonts w:ascii="Arial" w:hAnsi="Arial" w:cs="Arial"/>
        </w:rPr>
        <w:t>phenotyping</w:t>
      </w:r>
      <w:proofErr w:type="spellEnd"/>
      <w:r>
        <w:rPr>
          <w:rFonts w:ascii="Arial" w:hAnsi="Arial" w:cs="Arial"/>
        </w:rPr>
        <w:t xml:space="preserve"> gene calls is difficult to quantitatively determine, since a given cell can only be used in one assay, and its expression profile can therefore not be compared to another predicate standard.  Instead, the percentage of genes called for a population of cells can be compared between two methods, or compared to an expected canonical profile.  We have done the latter, by sorting Th1, Th2, and Th17 subsets of </w:t>
      </w:r>
      <w:proofErr w:type="spellStart"/>
      <w:r>
        <w:rPr>
          <w:rFonts w:ascii="Arial" w:hAnsi="Arial" w:cs="Arial"/>
        </w:rPr>
        <w:t>PMA+ionomycin</w:t>
      </w:r>
      <w:proofErr w:type="spellEnd"/>
      <w:r>
        <w:rPr>
          <w:rFonts w:ascii="Arial" w:hAnsi="Arial" w:cs="Arial"/>
        </w:rPr>
        <w:t xml:space="preserve"> activated CD4+ T cells</w:t>
      </w:r>
      <w:r w:rsidR="00FA3564">
        <w:rPr>
          <w:rFonts w:ascii="Arial" w:hAnsi="Arial" w:cs="Arial"/>
        </w:rPr>
        <w:t xml:space="preserve">, based on </w:t>
      </w:r>
      <w:r w:rsidR="00294C79">
        <w:rPr>
          <w:rFonts w:ascii="Arial" w:hAnsi="Arial" w:cs="Arial"/>
        </w:rPr>
        <w:t>reference</w:t>
      </w:r>
      <w:r w:rsidR="00FA3564">
        <w:rPr>
          <w:rFonts w:ascii="Arial" w:hAnsi="Arial" w:cs="Arial"/>
        </w:rPr>
        <w:t xml:space="preserve"> markers for these subsets.  Single-cell </w:t>
      </w:r>
      <w:proofErr w:type="spellStart"/>
      <w:r w:rsidR="00FA3564">
        <w:rPr>
          <w:rFonts w:ascii="Arial" w:hAnsi="Arial" w:cs="Arial"/>
        </w:rPr>
        <w:t>TCRseq</w:t>
      </w:r>
      <w:proofErr w:type="spellEnd"/>
      <w:r w:rsidR="00FA3564">
        <w:rPr>
          <w:rFonts w:ascii="Arial" w:hAnsi="Arial" w:cs="Arial"/>
        </w:rPr>
        <w:t xml:space="preserve"> (</w:t>
      </w:r>
      <w:r w:rsidR="00FA3564" w:rsidRPr="00FA3564">
        <w:rPr>
          <w:rFonts w:ascii="Arial" w:hAnsi="Arial" w:cs="Arial"/>
          <w:b/>
        </w:rPr>
        <w:t>Figure 3</w:t>
      </w:r>
      <w:r w:rsidR="00FA3564">
        <w:rPr>
          <w:rFonts w:ascii="Arial" w:hAnsi="Arial" w:cs="Arial"/>
        </w:rPr>
        <w:t xml:space="preserve">) shows that </w:t>
      </w:r>
      <w:r w:rsidR="00294C79">
        <w:rPr>
          <w:rFonts w:ascii="Arial" w:hAnsi="Arial" w:cs="Arial"/>
        </w:rPr>
        <w:t>called expression of canonical</w:t>
      </w:r>
      <w:r w:rsidR="00FA3564">
        <w:rPr>
          <w:rFonts w:ascii="Arial" w:hAnsi="Arial" w:cs="Arial"/>
        </w:rPr>
        <w:t xml:space="preserve"> genes (IFNG for Th1, IL4 and IL13 for Th2, and IL-17A and RORC</w:t>
      </w:r>
      <w:r w:rsidR="00294C79">
        <w:rPr>
          <w:rFonts w:ascii="Arial" w:hAnsi="Arial" w:cs="Arial"/>
        </w:rPr>
        <w:t xml:space="preserve"> for Th17) is largely confined to the expected phenotype.</w:t>
      </w:r>
      <w:r w:rsidR="007F2779">
        <w:rPr>
          <w:rFonts w:ascii="Arial" w:hAnsi="Arial" w:cs="Arial"/>
        </w:rPr>
        <w:t xml:space="preserve">  This essentially replicates the accuracy experiments described in Figure 2 of Han et al </w:t>
      </w:r>
      <w:r w:rsidR="000B32DA">
        <w:rPr>
          <w:rFonts w:ascii="Arial" w:hAnsi="Arial" w:cs="Arial"/>
        </w:rPr>
        <w:fldChar w:fldCharType="begin"/>
      </w:r>
      <w:r w:rsidR="007F2779">
        <w:rPr>
          <w:rFonts w:ascii="Arial" w:hAnsi="Arial" w:cs="Arial"/>
        </w:rPr>
        <w:instrText>ADDIN F1000_CSL_CITATION&lt;~#@#~&gt;[{"DOI":"10.1038/nbt.2938","First":false,"Last":false,"PMCID":"PMC4337815","PMID":"24952902","abstract":"Although each T lymphocyte expresses a T-cell receptor (TCR) that recognizes cognate antigen and controls T-cell activation, different T cells bearing the same TCR can be functionally distinct. Each TCR is a heterodimer, and both α- and β-chains contribute to determining TCR antigen specificity. Here we present a methodology enabling integration of information about TCR specificity with information about T cell function. This method involves sequencing of TCRα and TCRβ genes, and amplifying functional genes characteristic of different T cell subsets, in single T cells. Because this approach retains information about individual TCRα-TCRβ pairs, TCRs of interest can be expressed and used in functional studies, for antigen discovery, or in therapeutic applications. We apply this approach to study the clonal ancestry and differentiation of T lymphocytes infiltrating a human colorectal carcinoma. ","author":[{"family":"Han","given":"Arnold"},{"family":"Glanville","given":"Jacob"},{"family":"Hansmann","given":"Leo"},{"family":"Davis","given":"Mark M"}],"authorYearDisplayFormat":false,"citation-label":"17053","container-title":"Nature Biotechnology","container-title-short":"Nat. Biotechnol.","id":"17053","invisible":false,"issue":"7","issued":{"date-parts":[["2014","7"]]},"journalAbbreviation":"Nat. Biotechnol.","page":"684-692","suppress-author":false,"title":"Linking T-cell receptor sequence to functional phenotype at the single-cell level.","type":"article-journal","volume":"32"}]</w:instrText>
      </w:r>
      <w:r w:rsidR="000B32DA">
        <w:rPr>
          <w:rFonts w:ascii="Arial" w:hAnsi="Arial" w:cs="Arial"/>
        </w:rPr>
        <w:fldChar w:fldCharType="separate"/>
      </w:r>
      <w:r w:rsidR="003670E7" w:rsidRPr="003670E7">
        <w:rPr>
          <w:rFonts w:ascii="Arial" w:hAnsi="Arial" w:cs="Arial"/>
          <w:noProof/>
        </w:rPr>
        <w:t>(1)</w:t>
      </w:r>
      <w:r w:rsidR="000B32DA">
        <w:rPr>
          <w:rFonts w:ascii="Arial" w:hAnsi="Arial" w:cs="Arial"/>
        </w:rPr>
        <w:fldChar w:fldCharType="end"/>
      </w:r>
      <w:r w:rsidR="007F2779">
        <w:rPr>
          <w:rFonts w:ascii="Arial" w:hAnsi="Arial" w:cs="Arial"/>
        </w:rPr>
        <w:t>.</w:t>
      </w:r>
    </w:p>
    <w:p w:rsidR="00294C79" w:rsidRDefault="000850F6" w:rsidP="00E975C5">
      <w:pPr>
        <w:jc w:val="both"/>
        <w:rPr>
          <w:rFonts w:ascii="Arial" w:hAnsi="Arial" w:cs="Arial"/>
        </w:rPr>
      </w:pPr>
      <w:r>
        <w:rPr>
          <w:rFonts w:ascii="Arial" w:hAnsi="Arial" w:cs="Arial"/>
          <w:noProof/>
        </w:rPr>
        <w:pict>
          <v:shape id="Text Box 2" o:spid="_x0000_s1031" type="#_x0000_t202" style="position:absolute;left:0;text-align:left;margin-left:-1.1pt;margin-top:6.55pt;width:256.4pt;height:395pt;z-index:2516674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" fillcolor="white [3201]" stroked="f" strokeweight=".5pt">
            <v:textbox>
              <w:txbxContent>
                <w:p w:rsidR="00294C79" w:rsidRDefault="0068488C">
                  <w:r w:rsidRPr="0068488C">
                    <w:rPr>
                      <w:noProof/>
                    </w:rPr>
                    <w:drawing>
                      <wp:inline distT="0" distB="0" distL="0" distR="0">
                        <wp:extent cx="3071956" cy="2067950"/>
                        <wp:effectExtent l="0" t="0" r="1905" b="0"/>
                        <wp:docPr id="3" name="Picture 3" descr="A heatmap showing relative accuracy of phenotyping gene expression in cells sorted based on reference markers for Th1, Th2, and Th17 subsets of CD4+ T cells.  Th1, Th2, and Th17 are on the x axis. IFNG, IL4, IL13, IL17A, and RORC are on the y ax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heatmap showing relative accuracy of phenotyping gene expression in cells sorted based on reference markers for Th1, Th2, and Th17 subsets of CD4+ T cells.  Th1, Th2, and Th17 are on the x axis. IFNG, IL4, IL13, IL17A, and RORC are on the y axis."/>
                                <pic:cNvPicPr/>
                              </pic:nvPicPr>
                              <pic:blipFill>
                                <a:blip r:embed="rId11"/>
                                <a:stretch>
                                  <a:fillRect/>
                                </a:stretch>
                              </pic:blipFill>
                              <pic:spPr>
                                <a:xfrm>
                                  <a:off x="0" y="0"/>
                                  <a:ext cx="3094651" cy="2083228"/>
                                </a:xfrm>
                                <a:prstGeom prst="rect">
                                  <a:avLst/>
                                </a:prstGeom>
                              </pic:spPr>
                            </pic:pic>
                          </a:graphicData>
                        </a:graphic>
                      </wp:inline>
                    </w:drawing>
                  </w:r>
                </w:p>
                <w:p w:rsidR="00B5505C" w:rsidRDefault="00B5505C" w:rsidP="00B5505C">
                  <w:pPr>
                    <w:jc w:val="both"/>
                    <w:rPr>
                      <w:rFonts w:ascii="Arial" w:hAnsi="Arial" w:cs="Arial"/>
                      <w:b/>
                      <w:sz w:val="22"/>
                      <w:szCs w:val="22"/>
                    </w:rPr>
                  </w:pPr>
                </w:p>
                <w:p w:rsidR="00E207B1" w:rsidRPr="006C1E0A" w:rsidRDefault="00E207B1" w:rsidP="00736A5E">
                  <w:pPr>
                    <w:pStyle w:val="NoSpacing"/>
                  </w:pPr>
                  <w:r w:rsidRPr="00736A5E">
                    <w:rPr>
                      <w:rStyle w:val="Heading2Char"/>
                    </w:rPr>
                    <w:t>Figure 3.</w:t>
                  </w:r>
                  <w:r w:rsidRPr="006C1E0A">
                    <w:t xml:space="preserve"> Relative accuracy of </w:t>
                  </w:r>
                  <w:proofErr w:type="spellStart"/>
                  <w:r w:rsidRPr="006C1E0A">
                    <w:t>phenotyping</w:t>
                  </w:r>
                  <w:proofErr w:type="spellEnd"/>
                  <w:r w:rsidRPr="006C1E0A">
                    <w:t xml:space="preserve"> gene expression in cells sorted based on reference markers for Th1, Th2, and Th17 subsets of CD4+ T cells.</w:t>
                  </w:r>
                  <w:r w:rsidR="00BC1AA6">
                    <w:t xml:space="preserve">  </w:t>
                  </w:r>
                  <w:r w:rsidR="00BC1AA6" w:rsidRPr="003E296A">
                    <w:rPr>
                      <w:color w:val="C00000"/>
                    </w:rPr>
                    <w:t>Note that there is a single example of IFNg+IL-4 expression</w:t>
                  </w:r>
                  <w:r w:rsidR="00832187" w:rsidRPr="003E296A">
                    <w:rPr>
                      <w:color w:val="C00000"/>
                    </w:rPr>
                    <w:t xml:space="preserve"> by a sorted “Th1” cell, and three examples of Th2 cytokine (IL-4 and/or IL-13) expression by sorted “Th17” cells.  However, these latter three cells do not show IL-17A or RORC expression.  Similarly, there was a single example of </w:t>
                  </w:r>
                  <w:proofErr w:type="spellStart"/>
                  <w:r w:rsidR="00832187" w:rsidRPr="003E296A">
                    <w:rPr>
                      <w:color w:val="C00000"/>
                    </w:rPr>
                    <w:t>IFNg</w:t>
                  </w:r>
                  <w:proofErr w:type="spellEnd"/>
                  <w:r w:rsidR="00832187" w:rsidRPr="003E296A">
                    <w:rPr>
                      <w:color w:val="C00000"/>
                    </w:rPr>
                    <w:t xml:space="preserve"> expression by a sorted “Th2” cell, but that cell did not in fact make IL-4 or IL-13.</w:t>
                  </w:r>
                  <w:r w:rsidR="00530461" w:rsidRPr="003E296A">
                    <w:rPr>
                      <w:color w:val="C00000"/>
                    </w:rPr>
                    <w:t xml:space="preserve">  Thus, there is general exclusivity of Th1, Th2, and Th17 cytokine expression, with only one exception.</w:t>
                  </w:r>
                </w:p>
              </w:txbxContent>
            </v:textbox>
            <w10:wrap type="square"/>
          </v:shape>
        </w:pict>
      </w:r>
    </w:p>
    <w:p w:rsidR="00294C79" w:rsidRDefault="00294C79" w:rsidP="00E975C5">
      <w:pPr>
        <w:jc w:val="both"/>
        <w:rPr>
          <w:rFonts w:ascii="Arial" w:hAnsi="Arial" w:cs="Arial"/>
        </w:rPr>
      </w:pPr>
      <w:r>
        <w:rPr>
          <w:rFonts w:ascii="Arial" w:hAnsi="Arial" w:cs="Arial"/>
        </w:rPr>
        <w:t xml:space="preserve">The “unexpected” expression of canonical genes (outside of the expected </w:t>
      </w:r>
      <w:proofErr w:type="spellStart"/>
      <w:r>
        <w:rPr>
          <w:rFonts w:ascii="Arial" w:hAnsi="Arial" w:cs="Arial"/>
        </w:rPr>
        <w:t>Th</w:t>
      </w:r>
      <w:proofErr w:type="spellEnd"/>
      <w:r>
        <w:rPr>
          <w:rFonts w:ascii="Arial" w:hAnsi="Arial" w:cs="Arial"/>
        </w:rPr>
        <w:t xml:space="preserve"> type) is most likely a reflection of biology rather than false positive reads.  We infer this because of the complete absence of contamination of empty wells in the “checkerboard” experiment described below (</w:t>
      </w:r>
      <w:r w:rsidRPr="00294C79">
        <w:rPr>
          <w:rFonts w:ascii="Arial" w:hAnsi="Arial" w:cs="Arial"/>
          <w:b/>
        </w:rPr>
        <w:t xml:space="preserve">Figure </w:t>
      </w:r>
      <w:r>
        <w:rPr>
          <w:rFonts w:ascii="Arial" w:hAnsi="Arial" w:cs="Arial"/>
          <w:b/>
        </w:rPr>
        <w:t>5</w:t>
      </w:r>
      <w:r>
        <w:rPr>
          <w:rFonts w:ascii="Arial" w:hAnsi="Arial" w:cs="Arial"/>
        </w:rPr>
        <w:t xml:space="preserve">); and because of the previously described </w:t>
      </w:r>
      <w:r w:rsidR="007F2779">
        <w:rPr>
          <w:rFonts w:ascii="Arial" w:hAnsi="Arial" w:cs="Arial"/>
        </w:rPr>
        <w:t>plasticity</w:t>
      </w:r>
      <w:r>
        <w:rPr>
          <w:rFonts w:ascii="Arial" w:hAnsi="Arial" w:cs="Arial"/>
        </w:rPr>
        <w:t xml:space="preserve"> </w:t>
      </w:r>
      <w:r w:rsidR="007F2779">
        <w:rPr>
          <w:rFonts w:ascii="Arial" w:hAnsi="Arial" w:cs="Arial"/>
        </w:rPr>
        <w:t xml:space="preserve">of </w:t>
      </w:r>
      <w:proofErr w:type="spellStart"/>
      <w:r w:rsidR="007F2779">
        <w:rPr>
          <w:rFonts w:ascii="Arial" w:hAnsi="Arial" w:cs="Arial"/>
        </w:rPr>
        <w:t>Th</w:t>
      </w:r>
      <w:proofErr w:type="spellEnd"/>
      <w:r w:rsidR="007F2779">
        <w:rPr>
          <w:rFonts w:ascii="Arial" w:hAnsi="Arial" w:cs="Arial"/>
        </w:rPr>
        <w:t xml:space="preserve"> phenotypes, especially </w:t>
      </w:r>
      <w:r w:rsidR="00725EBD">
        <w:rPr>
          <w:rFonts w:ascii="Arial" w:hAnsi="Arial" w:cs="Arial"/>
        </w:rPr>
        <w:t xml:space="preserve">for Th17 cells </w:t>
      </w:r>
      <w:r w:rsidR="000B32DA">
        <w:rPr>
          <w:rFonts w:ascii="Arial" w:hAnsi="Arial" w:cs="Arial"/>
        </w:rPr>
        <w:fldChar w:fldCharType="begin"/>
      </w:r>
      <w:r w:rsidR="00725EBD">
        <w:rPr>
          <w:rFonts w:ascii="Arial" w:hAnsi="Arial" w:cs="Arial"/>
        </w:rPr>
        <w:instrText>ADDIN F1000_CSL_CITATION&lt;~#@#~&gt;[{"DOI":"10.1182/blood-2012-09-378653","First":false,"Last":false,"PMCID":"PMC3612853","PMID":"23325835","abstract":"CD4(+) T helper (Th) cells exist in a variety of epigenetic states that determine their function, phenotype, and capacity for persistence. These polarization states include Th1, Th2, Th17, and Foxp3(+) T regulatory cells, as well as the more recently described T follicular helper, Th9, and Th22 cells. Th17 cells express the master transcriptional regulator retinoic acid-related orphan receptor γ thymus and produce canonical interleukin (IL)-17A and IL-17F cytokines. Th17 cells display a great degree of context-dependent plasticity, as they are capable of acquiring functional characteristics of Th1 cells. This late plasticity may contribute to the protection against microbes, plays a role in the development of autoimmunity, and is necessary for antitumor activity of Th17 cells in adoptive cell transfer therapy models. Moreover, plasticity of this subset is associated with higher in vivo survival and self-renewal capacity and less senescence than Th1 polarized cells, which have less plasticity and more phenotypic stability. New findings indicate that subset polarization of CD4(+) T cells not only induces characteristic patterns of surface markers and cytokine production but also has a maturational aspect that affects a cell's ability to survive, respond to secondary stimulation, and form long-term immune memory.","author":[{"family":"Muranski","given":"Pawel"},{"family":"Restifo","given":"Nicholas P"}],"authorYearDisplayFormat":false,"citation-label":"991661","container-title":"Blood","container-title-short":"Blood","id":"991661","invisible":false,"issue":"13","issued":{"date-parts":[["2013","3","28"]]},"journalAbbreviation":"Blood","page":"2402-2414","suppress-author":false,"title":"Essentials of Th17 cell commitment and plasticity.","type":"article-journal","volume":"121"}]</w:instrText>
      </w:r>
      <w:r w:rsidR="000B32DA">
        <w:rPr>
          <w:rFonts w:ascii="Arial" w:hAnsi="Arial" w:cs="Arial"/>
        </w:rPr>
        <w:fldChar w:fldCharType="separate"/>
      </w:r>
      <w:r w:rsidR="003670E7" w:rsidRPr="003670E7">
        <w:rPr>
          <w:rFonts w:ascii="Arial" w:hAnsi="Arial" w:cs="Arial"/>
          <w:noProof/>
        </w:rPr>
        <w:t>(5)</w:t>
      </w:r>
      <w:r w:rsidR="000B32DA">
        <w:rPr>
          <w:rFonts w:ascii="Arial" w:hAnsi="Arial" w:cs="Arial"/>
        </w:rPr>
        <w:fldChar w:fldCharType="end"/>
      </w:r>
      <w:r w:rsidR="00725EBD">
        <w:rPr>
          <w:rFonts w:ascii="Arial" w:hAnsi="Arial" w:cs="Arial"/>
        </w:rPr>
        <w:t>, which is where the greatest infidelity (unexpected gene expression) is seen.</w:t>
      </w:r>
    </w:p>
    <w:p w:rsidR="00725EBD" w:rsidRDefault="00725EBD" w:rsidP="00E975C5">
      <w:pPr>
        <w:jc w:val="both"/>
        <w:rPr>
          <w:rFonts w:ascii="Arial" w:hAnsi="Arial" w:cs="Arial"/>
        </w:rPr>
      </w:pPr>
    </w:p>
    <w:p w:rsidR="00725EBD" w:rsidRPr="003E296A" w:rsidRDefault="00725EBD" w:rsidP="00E975C5">
      <w:pPr>
        <w:jc w:val="both"/>
        <w:rPr>
          <w:rFonts w:ascii="Arial" w:hAnsi="Arial" w:cs="Arial"/>
          <w:color w:val="C00000"/>
        </w:rPr>
      </w:pPr>
      <w:r>
        <w:rPr>
          <w:rFonts w:ascii="Arial" w:hAnsi="Arial" w:cs="Arial"/>
        </w:rPr>
        <w:t xml:space="preserve">Conversely, there is also incomplete expression of canonical genes for some of the cells of a particular </w:t>
      </w:r>
      <w:proofErr w:type="spellStart"/>
      <w:r>
        <w:rPr>
          <w:rFonts w:ascii="Arial" w:hAnsi="Arial" w:cs="Arial"/>
        </w:rPr>
        <w:t>Th</w:t>
      </w:r>
      <w:proofErr w:type="spellEnd"/>
      <w:r>
        <w:rPr>
          <w:rFonts w:ascii="Arial" w:hAnsi="Arial" w:cs="Arial"/>
        </w:rPr>
        <w:t xml:space="preserve"> type.  This could also be due to biology, in that </w:t>
      </w:r>
      <w:r w:rsidR="00E207B1">
        <w:rPr>
          <w:rFonts w:ascii="Arial" w:hAnsi="Arial" w:cs="Arial"/>
        </w:rPr>
        <w:t>expression</w:t>
      </w:r>
      <w:r>
        <w:rPr>
          <w:rFonts w:ascii="Arial" w:hAnsi="Arial" w:cs="Arial"/>
        </w:rPr>
        <w:t xml:space="preserve"> of these genes, particularly cytokines, </w:t>
      </w:r>
      <w:r w:rsidR="00E207B1">
        <w:rPr>
          <w:rFonts w:ascii="Arial" w:hAnsi="Arial" w:cs="Arial"/>
        </w:rPr>
        <w:t>is rapidly</w:t>
      </w:r>
      <w:r>
        <w:rPr>
          <w:rFonts w:ascii="Arial" w:hAnsi="Arial" w:cs="Arial"/>
        </w:rPr>
        <w:t xml:space="preserve"> cyclical </w:t>
      </w:r>
      <w:r w:rsidR="000B32DA">
        <w:rPr>
          <w:rFonts w:ascii="Arial" w:hAnsi="Arial" w:cs="Arial"/>
        </w:rPr>
        <w:fldChar w:fldCharType="begin"/>
      </w:r>
      <w:r>
        <w:rPr>
          <w:rFonts w:ascii="Arial" w:hAnsi="Arial" w:cs="Arial"/>
        </w:rPr>
        <w:instrText>ADDIN F1000_CSL_CITATION&lt;~#@#~&gt;[{"DOI":"10.1038/43454","First":false,"Last":false,"PMID":"10485708","abstract":"CD8-positive T cells protect the body against viral pathogens by two important mechanisms: production of antiviral cytokines and lysis of infected cells. Cytokine production can have both local and systemic consequences, whereas cytolytic activity is limited to infected cells that are in direct contact with T cells. Here we analyse activated CD8-positive T cells from mice infected with lymphocytic choriomeningitis virus and find that cytokines are not produced ex vivo in the absence of peptide stimulation, but that they are rapidly generated after T cells encounter viral peptides bound to the major histocompatibility complex. Remarkably, cytokine production ceases immediately upon dissociation of the T cells from their targets and resumes when antigenic contact is restored. In contrast to the 'on/off/on' cycling of cytokines, the pore-forming cytotoxic protein perforin is constitutively maintained. Our results indicate that there is differential expression of effector molecules according to whether the antiviral product is secreted (like cytokines) or stored inside the cell (like perforin). The ability to turn cytokines on and off while maintaining intracellular stores of perforin shows the versatility of the cellular immune response and provides a mechanism for maintaining effective immune surveillance while reducing systemic immunopathology.","author":[{"family":"Slifka","given":"M K"},{"family":"Rodriguez","given":"F"},{"family":"Whitton","given":"J L"}],"authorYearDisplayFormat":false,"citation-label":"587536","container-title":"Nature","container-title-short":"Nature","id":"587536","invisible":false,"issue":"6748","issued":{"date-parts":[["1999","9","2"]]},"journalAbbreviation":"Nature","page":"76-79","suppress-author":false,"title":"Rapid on/off cycling of cytokine production by virus-specific CD8+ T cells.","type":"article-journal","volume":"401"}]</w:instrText>
      </w:r>
      <w:r w:rsidR="000B32DA">
        <w:rPr>
          <w:rFonts w:ascii="Arial" w:hAnsi="Arial" w:cs="Arial"/>
        </w:rPr>
        <w:fldChar w:fldCharType="separate"/>
      </w:r>
      <w:r w:rsidR="003670E7" w:rsidRPr="003670E7">
        <w:rPr>
          <w:rFonts w:ascii="Arial" w:hAnsi="Arial" w:cs="Arial"/>
          <w:noProof/>
        </w:rPr>
        <w:t>(6)</w:t>
      </w:r>
      <w:r w:rsidR="000B32DA">
        <w:rPr>
          <w:rFonts w:ascii="Arial" w:hAnsi="Arial" w:cs="Arial"/>
        </w:rPr>
        <w:fldChar w:fldCharType="end"/>
      </w:r>
      <w:r w:rsidR="00E207B1">
        <w:rPr>
          <w:rFonts w:ascii="Arial" w:hAnsi="Arial" w:cs="Arial"/>
        </w:rPr>
        <w:t xml:space="preserve">.  It could also be a technical consequence of poor input cell/RNA quality.  Finally, it could represent poor sensitivity of the assay; though for TCR genes, a sensitivity of &gt;70% is typically seen (see </w:t>
      </w:r>
      <w:r w:rsidR="00E207B1" w:rsidRPr="00E207B1">
        <w:rPr>
          <w:rFonts w:ascii="Arial" w:hAnsi="Arial" w:cs="Arial"/>
          <w:b/>
        </w:rPr>
        <w:t>Table 3</w:t>
      </w:r>
      <w:r w:rsidR="00E207B1">
        <w:rPr>
          <w:rFonts w:ascii="Arial" w:hAnsi="Arial" w:cs="Arial"/>
        </w:rPr>
        <w:t xml:space="preserve"> above).</w:t>
      </w:r>
      <w:r w:rsidR="00BC1AA6">
        <w:rPr>
          <w:rFonts w:ascii="Arial" w:hAnsi="Arial" w:cs="Arial"/>
        </w:rPr>
        <w:t xml:space="preserve">  </w:t>
      </w:r>
      <w:r w:rsidR="00BC1AA6" w:rsidRPr="003E296A">
        <w:rPr>
          <w:rFonts w:ascii="Arial" w:hAnsi="Arial" w:cs="Arial"/>
          <w:color w:val="C00000"/>
        </w:rPr>
        <w:t xml:space="preserve">For these reasons, the assay should not be used for unambiguous classification of individual cells, but rather for trends in phenotypes across as many cells as can feasibly be analyzed in a </w:t>
      </w:r>
      <w:r w:rsidR="00BC1AA6" w:rsidRPr="003E296A">
        <w:rPr>
          <w:rFonts w:ascii="Arial" w:hAnsi="Arial" w:cs="Arial"/>
          <w:color w:val="C00000"/>
        </w:rPr>
        <w:lastRenderedPageBreak/>
        <w:t>given sample.</w:t>
      </w:r>
      <w:r w:rsidR="00530461" w:rsidRPr="003E296A">
        <w:rPr>
          <w:rFonts w:ascii="Arial" w:hAnsi="Arial" w:cs="Arial"/>
          <w:color w:val="C00000"/>
        </w:rPr>
        <w:t xml:space="preserve">  Results from multiple samples can productively be compared using dimension-reduction algorithms such as PCA, which can display each cell in a two-dimensional space, based on its expression of many targeted genes.</w:t>
      </w:r>
      <w:r w:rsidR="001E39F0" w:rsidRPr="003E296A">
        <w:rPr>
          <w:rFonts w:ascii="Arial" w:hAnsi="Arial" w:cs="Arial"/>
          <w:color w:val="C00000"/>
        </w:rPr>
        <w:t xml:space="preserve">  Examination of PC loading can then define the specific genes that may separate different samples, e.g. responders and non-responders.</w:t>
      </w:r>
    </w:p>
    <w:p w:rsidR="00E975C5" w:rsidRDefault="00E975C5" w:rsidP="008820DA">
      <w:pPr>
        <w:rPr>
          <w:rFonts w:ascii="Arial" w:hAnsi="Arial" w:cs="Arial"/>
        </w:rPr>
      </w:pPr>
    </w:p>
    <w:p w:rsidR="00E975C5" w:rsidRDefault="00E975C5">
      <w:pPr>
        <w:rPr>
          <w:rFonts w:ascii="Arial" w:hAnsi="Arial" w:cs="Arial"/>
        </w:rPr>
      </w:pPr>
      <w:r>
        <w:rPr>
          <w:rFonts w:ascii="Arial" w:hAnsi="Arial" w:cs="Arial"/>
        </w:rPr>
        <w:br w:type="page"/>
      </w:r>
    </w:p>
    <w:p w:rsidR="00762550" w:rsidRPr="00E207B1" w:rsidRDefault="000B32DA" w:rsidP="008820DA">
      <w:pPr>
        <w:rPr>
          <w:rFonts w:ascii="Arial" w:hAnsi="Arial" w:cs="Arial"/>
        </w:rPr>
      </w:pPr>
      <w:r>
        <w:rPr>
          <w:rFonts w:ascii="Arial" w:hAnsi="Arial" w:cs="Arial"/>
          <w:noProof/>
        </w:rPr>
        <w:lastRenderedPageBreak/>
        <w:pict>
          <v:shape id="Text Box 4" o:spid="_x0000_s1032" type="#_x0000_t202" style="position:absolute;margin-left:226.05pt;margin-top:13.8pt;width:267.5pt;height:301.25pt;z-index:2516684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" fillcolor="white [3201]" stroked="f" strokeweight=".5pt">
            <v:textbox>
              <w:txbxContent>
                <w:p w:rsidR="009022E5" w:rsidRDefault="00033483">
                  <w:r>
                    <w:rPr>
                      <w:noProof/>
                    </w:rPr>
                    <w:drawing>
                      <wp:inline distT="0" distB="0" distL="0" distR="0">
                        <wp:extent cx="3208867" cy="3316748"/>
                        <wp:effectExtent l="0" t="0" r="4445" b="0"/>
                        <wp:docPr id="16" name="Picture 16" descr="Graph showing TCR call rate percentages varying between 50% and 90% across three different projects.  huTCR Call rate (%) is on the y axis.  CAD-CD8, Treg TCR, and CD4stim-Allergy projects are on the x axis.  Three dots/lines in the graph represent TCRa (blue), TCRb (red), and TCRab (gr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 showing TCR call rate percentages varying between 50% and 90% across three different projects.  huTCR Call rate (%) is on the y axis.  CAD-CD8, Treg TCR, and CD4stim-Allergy projects are on the x axis.  Three dots/lines in the graph represent TCRa (blue), TCRb (red), and TCRab (gray)."/>
                                <pic:cNvPicPr/>
                              </pic:nvPicPr>
                              <pic:blipFill>
                                <a:blip r:embed="rId12"/>
                                <a:stretch>
                                  <a:fillRect/>
                                </a:stretch>
                              </pic:blipFill>
                              <pic:spPr>
                                <a:xfrm>
                                  <a:off x="0" y="0"/>
                                  <a:ext cx="3208867" cy="3316748"/>
                                </a:xfrm>
                                <a:prstGeom prst="rect">
                                  <a:avLst/>
                                </a:prstGeom>
                              </pic:spPr>
                            </pic:pic>
                          </a:graphicData>
                        </a:graphic>
                      </wp:inline>
                    </w:drawing>
                  </w:r>
                </w:p>
                <w:p w:rsidR="009022E5" w:rsidRPr="006C1E0A" w:rsidRDefault="009022E5">
                  <w:pPr>
                    <w:rPr>
                      <w:rFonts w:ascii="Arial" w:hAnsi="Arial" w:cs="Arial"/>
                      <w:sz w:val="22"/>
                      <w:szCs w:val="22"/>
                    </w:rPr>
                  </w:pPr>
                  <w:r w:rsidRPr="006C1E0A">
                    <w:rPr>
                      <w:rFonts w:ascii="Arial" w:hAnsi="Arial" w:cs="Arial"/>
                      <w:b/>
                      <w:sz w:val="22"/>
                      <w:szCs w:val="22"/>
                    </w:rPr>
                    <w:t xml:space="preserve">Figure </w:t>
                  </w:r>
                  <w:r w:rsidR="00033483" w:rsidRPr="006C1E0A">
                    <w:rPr>
                      <w:rFonts w:ascii="Arial" w:hAnsi="Arial" w:cs="Arial"/>
                      <w:b/>
                      <w:sz w:val="22"/>
                      <w:szCs w:val="22"/>
                    </w:rPr>
                    <w:t>4.</w:t>
                  </w:r>
                  <w:r w:rsidR="00033483" w:rsidRPr="006C1E0A">
                    <w:rPr>
                      <w:rFonts w:ascii="Arial" w:hAnsi="Arial" w:cs="Arial"/>
                      <w:sz w:val="22"/>
                      <w:szCs w:val="22"/>
                    </w:rPr>
                    <w:t xml:space="preserve">  TCR call rates, with SD between plates, for three HIMC </w:t>
                  </w:r>
                  <w:proofErr w:type="spellStart"/>
                  <w:r w:rsidR="00033483" w:rsidRPr="006C1E0A">
                    <w:rPr>
                      <w:rFonts w:ascii="Arial" w:hAnsi="Arial" w:cs="Arial"/>
                      <w:sz w:val="22"/>
                      <w:szCs w:val="22"/>
                    </w:rPr>
                    <w:t>scTCRseq</w:t>
                  </w:r>
                  <w:proofErr w:type="spellEnd"/>
                  <w:r w:rsidR="00033483" w:rsidRPr="006C1E0A">
                    <w:rPr>
                      <w:rFonts w:ascii="Arial" w:hAnsi="Arial" w:cs="Arial"/>
                      <w:sz w:val="22"/>
                      <w:szCs w:val="22"/>
                    </w:rPr>
                    <w:t xml:space="preserve"> projects.</w:t>
                  </w:r>
                </w:p>
              </w:txbxContent>
            </v:textbox>
            <w10:wrap type="square"/>
          </v:shape>
        </w:pict>
      </w:r>
    </w:p>
    <w:p w:rsidR="00736A5E" w:rsidRPr="00736A5E" w:rsidRDefault="00175FB5" w:rsidP="00736A5E">
      <w:pPr>
        <w:pStyle w:val="Heading1"/>
        <w:sectPr w:rsidR="00736A5E" w:rsidRPr="00736A5E" w:rsidSect="003E296A">
          <w:headerReference w:type="default" r:id="rId13"/>
          <w:footerReference w:type="even" r:id="rId14"/>
          <w:footerReference w:type="default" r:id="rId15"/>
          <w:pgSz w:w="12240" w:h="15840"/>
          <w:pgMar w:top="2016" w:right="540" w:bottom="1296" w:left="1440" w:header="720" w:footer="720" w:gutter="0"/>
          <w:cols w:space="720"/>
          <w:docGrid w:linePitch="360"/>
        </w:sectPr>
      </w:pPr>
      <w:r w:rsidRPr="00736A5E">
        <w:rPr>
          <w:rStyle w:val="Heading1Char"/>
          <w:b/>
        </w:rPr>
        <w:t xml:space="preserve">3. </w:t>
      </w:r>
      <w:r w:rsidR="00A6751B" w:rsidRPr="00736A5E">
        <w:rPr>
          <w:rStyle w:val="Heading1Char"/>
          <w:b/>
        </w:rPr>
        <w:t xml:space="preserve">Inter-Assay Precision. </w:t>
      </w:r>
    </w:p>
    <w:p w:rsidR="00A6751B" w:rsidRDefault="004A6B12" w:rsidP="008820DA">
      <w:pPr>
        <w:rPr>
          <w:rFonts w:ascii="Arial" w:hAnsi="Arial" w:cs="Arial"/>
        </w:rPr>
      </w:pPr>
      <w:r>
        <w:rPr>
          <w:rFonts w:ascii="Arial" w:hAnsi="Arial" w:cs="Arial"/>
        </w:rPr>
        <w:lastRenderedPageBreak/>
        <w:t>This cannot be assessed on the exact same cells in two experiments, unless starting from post-P1 amplification.  As such, the</w:t>
      </w:r>
      <w:r w:rsidR="00A6751B">
        <w:rPr>
          <w:rFonts w:ascii="Arial" w:hAnsi="Arial" w:cs="Arial"/>
        </w:rPr>
        <w:t xml:space="preserve"> same P1 plate</w:t>
      </w:r>
      <w:r w:rsidR="00092577">
        <w:rPr>
          <w:rFonts w:ascii="Arial" w:hAnsi="Arial" w:cs="Arial"/>
        </w:rPr>
        <w:t>s</w:t>
      </w:r>
      <w:r w:rsidR="00A6751B">
        <w:rPr>
          <w:rFonts w:ascii="Arial" w:hAnsi="Arial" w:cs="Arial"/>
        </w:rPr>
        <w:t xml:space="preserve"> </w:t>
      </w:r>
      <w:r w:rsidR="00092577">
        <w:rPr>
          <w:rFonts w:ascii="Arial" w:hAnsi="Arial" w:cs="Arial"/>
        </w:rPr>
        <w:t>were</w:t>
      </w:r>
      <w:r w:rsidR="00A6751B">
        <w:rPr>
          <w:rFonts w:ascii="Arial" w:hAnsi="Arial" w:cs="Arial"/>
        </w:rPr>
        <w:t xml:space="preserve"> re-run on two different days for P2 and P3 PCR reactions, and TCR call rates were compared.  This was done for four different P1 plates, each containing </w:t>
      </w:r>
      <w:proofErr w:type="spellStart"/>
      <w:r w:rsidR="00A6751B">
        <w:rPr>
          <w:rFonts w:ascii="Arial" w:hAnsi="Arial" w:cs="Arial"/>
        </w:rPr>
        <w:t>oligoclonal</w:t>
      </w:r>
      <w:proofErr w:type="spellEnd"/>
      <w:r w:rsidR="00A6751B">
        <w:rPr>
          <w:rFonts w:ascii="Arial" w:hAnsi="Arial" w:cs="Arial"/>
        </w:rPr>
        <w:t xml:space="preserve"> T cell populations.  The call rates varied from 71 to 84% for </w:t>
      </w:r>
      <w:proofErr w:type="spellStart"/>
      <w:r w:rsidR="00A6751B">
        <w:rPr>
          <w:rFonts w:ascii="Arial" w:hAnsi="Arial" w:cs="Arial"/>
        </w:rPr>
        <w:t>TCRalpha</w:t>
      </w:r>
      <w:proofErr w:type="spellEnd"/>
      <w:r w:rsidR="00A6751B">
        <w:rPr>
          <w:rFonts w:ascii="Arial" w:hAnsi="Arial" w:cs="Arial"/>
        </w:rPr>
        <w:t xml:space="preserve">, and 69% to 84% for </w:t>
      </w:r>
      <w:proofErr w:type="spellStart"/>
      <w:r w:rsidR="00A6751B">
        <w:rPr>
          <w:rFonts w:ascii="Arial" w:hAnsi="Arial" w:cs="Arial"/>
        </w:rPr>
        <w:t>TCRbeta</w:t>
      </w:r>
      <w:proofErr w:type="spellEnd"/>
      <w:r w:rsidR="00A6751B">
        <w:rPr>
          <w:rFonts w:ascii="Arial" w:hAnsi="Arial" w:cs="Arial"/>
        </w:rPr>
        <w:t>.  The mean %CV between replicate</w:t>
      </w:r>
      <w:r w:rsidR="0094608F">
        <w:rPr>
          <w:rFonts w:ascii="Arial" w:hAnsi="Arial" w:cs="Arial"/>
        </w:rPr>
        <w:t xml:space="preserve"> plates</w:t>
      </w:r>
      <w:r w:rsidR="00A6751B">
        <w:rPr>
          <w:rFonts w:ascii="Arial" w:hAnsi="Arial" w:cs="Arial"/>
        </w:rPr>
        <w:t xml:space="preserve"> for </w:t>
      </w:r>
      <w:proofErr w:type="spellStart"/>
      <w:r w:rsidR="00A6751B">
        <w:rPr>
          <w:rFonts w:ascii="Arial" w:hAnsi="Arial" w:cs="Arial"/>
        </w:rPr>
        <w:t>TCRalpha</w:t>
      </w:r>
      <w:proofErr w:type="spellEnd"/>
      <w:r w:rsidR="00A6751B">
        <w:rPr>
          <w:rFonts w:ascii="Arial" w:hAnsi="Arial" w:cs="Arial"/>
        </w:rPr>
        <w:t xml:space="preserve"> </w:t>
      </w:r>
      <w:r w:rsidR="0094608F">
        <w:rPr>
          <w:rFonts w:ascii="Arial" w:hAnsi="Arial" w:cs="Arial"/>
        </w:rPr>
        <w:t xml:space="preserve">call rate </w:t>
      </w:r>
      <w:r w:rsidR="00A6751B">
        <w:rPr>
          <w:rFonts w:ascii="Arial" w:hAnsi="Arial" w:cs="Arial"/>
        </w:rPr>
        <w:t>was 4.8%</w:t>
      </w:r>
      <w:r w:rsidR="0094608F">
        <w:rPr>
          <w:rFonts w:ascii="Arial" w:hAnsi="Arial" w:cs="Arial"/>
        </w:rPr>
        <w:t xml:space="preserve">.  The mean %CV between replicate plates </w:t>
      </w:r>
      <w:r w:rsidR="00A6751B">
        <w:rPr>
          <w:rFonts w:ascii="Arial" w:hAnsi="Arial" w:cs="Arial"/>
        </w:rPr>
        <w:t xml:space="preserve">for </w:t>
      </w:r>
      <w:proofErr w:type="spellStart"/>
      <w:r w:rsidR="00A6751B">
        <w:rPr>
          <w:rFonts w:ascii="Arial" w:hAnsi="Arial" w:cs="Arial"/>
        </w:rPr>
        <w:t>TCRbeta</w:t>
      </w:r>
      <w:proofErr w:type="spellEnd"/>
      <w:r w:rsidR="00A6751B">
        <w:rPr>
          <w:rFonts w:ascii="Arial" w:hAnsi="Arial" w:cs="Arial"/>
        </w:rPr>
        <w:t xml:space="preserve"> </w:t>
      </w:r>
      <w:r w:rsidR="0094608F">
        <w:rPr>
          <w:rFonts w:ascii="Arial" w:hAnsi="Arial" w:cs="Arial"/>
        </w:rPr>
        <w:t>call rate was</w:t>
      </w:r>
      <w:r w:rsidR="00A6751B">
        <w:rPr>
          <w:rFonts w:ascii="Arial" w:hAnsi="Arial" w:cs="Arial"/>
        </w:rPr>
        <w:t xml:space="preserve"> 1.6%.</w:t>
      </w:r>
    </w:p>
    <w:p w:rsidR="009022E5" w:rsidRDefault="009022E5" w:rsidP="008820DA">
      <w:pPr>
        <w:rPr>
          <w:rFonts w:ascii="Arial" w:hAnsi="Arial" w:cs="Arial"/>
        </w:rPr>
      </w:pPr>
    </w:p>
    <w:p w:rsidR="009022E5" w:rsidRDefault="009022E5" w:rsidP="008820DA">
      <w:pPr>
        <w:rPr>
          <w:rFonts w:ascii="Arial" w:hAnsi="Arial" w:cs="Arial"/>
        </w:rPr>
      </w:pPr>
      <w:r>
        <w:rPr>
          <w:rFonts w:ascii="Arial" w:hAnsi="Arial" w:cs="Arial"/>
        </w:rPr>
        <w:t xml:space="preserve">We have also assessed the reproducibility of TCR call rates between projects in the HIMC service center.  This is not a pure measure of inter-assay precision, because it can be influenced by sample quality differences between projects.  Nevertheless, </w:t>
      </w:r>
      <w:r w:rsidRPr="00E45D78">
        <w:rPr>
          <w:rFonts w:ascii="Arial" w:hAnsi="Arial" w:cs="Arial"/>
          <w:b/>
        </w:rPr>
        <w:t>Figure 4</w:t>
      </w:r>
      <w:r>
        <w:rPr>
          <w:rFonts w:ascii="Arial" w:hAnsi="Arial" w:cs="Arial"/>
        </w:rPr>
        <w:t xml:space="preserve"> shows that individual </w:t>
      </w:r>
      <w:proofErr w:type="spellStart"/>
      <w:r>
        <w:rPr>
          <w:rFonts w:ascii="Arial" w:hAnsi="Arial" w:cs="Arial"/>
        </w:rPr>
        <w:t>TCRalpha</w:t>
      </w:r>
      <w:proofErr w:type="spellEnd"/>
      <w:r>
        <w:rPr>
          <w:rFonts w:ascii="Arial" w:hAnsi="Arial" w:cs="Arial"/>
        </w:rPr>
        <w:t xml:space="preserve"> and </w:t>
      </w:r>
      <w:proofErr w:type="spellStart"/>
      <w:r>
        <w:rPr>
          <w:rFonts w:ascii="Arial" w:hAnsi="Arial" w:cs="Arial"/>
        </w:rPr>
        <w:t>TCRbeta</w:t>
      </w:r>
      <w:proofErr w:type="spellEnd"/>
      <w:r>
        <w:rPr>
          <w:rFonts w:ascii="Arial" w:hAnsi="Arial" w:cs="Arial"/>
        </w:rPr>
        <w:t xml:space="preserve"> call rates varied between 50% and 90% of wells across three different projects.</w:t>
      </w:r>
    </w:p>
    <w:p w:rsidR="00CD57A3" w:rsidRDefault="00CD57A3" w:rsidP="008820DA">
      <w:pPr>
        <w:rPr>
          <w:rFonts w:ascii="Arial" w:hAnsi="Arial" w:cs="Arial"/>
          <w:b/>
        </w:rPr>
      </w:pPr>
    </w:p>
    <w:p w:rsidR="00CD57A3" w:rsidRDefault="00CD57A3" w:rsidP="008820DA">
      <w:pPr>
        <w:rPr>
          <w:rFonts w:ascii="Arial" w:hAnsi="Arial" w:cs="Arial"/>
          <w:b/>
        </w:rPr>
      </w:pPr>
    </w:p>
    <w:p w:rsidR="00E975C5" w:rsidRDefault="00E975C5">
      <w:pPr>
        <w:rPr>
          <w:rFonts w:ascii="Arial" w:hAnsi="Arial" w:cs="Arial"/>
          <w:b/>
        </w:rPr>
      </w:pPr>
      <w:r>
        <w:rPr>
          <w:rFonts w:ascii="Arial" w:hAnsi="Arial" w:cs="Arial"/>
          <w:b/>
        </w:rPr>
        <w:br w:type="page"/>
      </w:r>
    </w:p>
    <w:p w:rsidR="001A5F41" w:rsidRDefault="00CD57A3" w:rsidP="001A5F41">
      <w:pPr>
        <w:pStyle w:val="Heading1"/>
      </w:pPr>
      <w:r>
        <w:lastRenderedPageBreak/>
        <w:t xml:space="preserve">4. </w:t>
      </w:r>
      <w:r w:rsidR="004A6B12" w:rsidRPr="00092577">
        <w:t>Intra-Assay Precision.</w:t>
      </w:r>
    </w:p>
    <w:p w:rsidR="004A6B12" w:rsidRDefault="004A6B12" w:rsidP="008820DA">
      <w:pPr>
        <w:rPr>
          <w:rFonts w:ascii="Arial" w:hAnsi="Arial" w:cs="Arial"/>
        </w:rPr>
      </w:pPr>
      <w:r>
        <w:rPr>
          <w:rFonts w:ascii="Arial" w:hAnsi="Arial" w:cs="Arial"/>
        </w:rPr>
        <w:t>Since the same cell cannot be</w:t>
      </w:r>
      <w:r w:rsidR="00162CD7">
        <w:rPr>
          <w:rFonts w:ascii="Arial" w:hAnsi="Arial" w:cs="Arial"/>
        </w:rPr>
        <w:t xml:space="preserve"> split into multiple wells for determination of intra-assay precision, we can only </w:t>
      </w:r>
      <w:r w:rsidR="00033483">
        <w:rPr>
          <w:rFonts w:ascii="Arial" w:hAnsi="Arial" w:cs="Arial"/>
        </w:rPr>
        <w:t xml:space="preserve">compare </w:t>
      </w:r>
      <w:r w:rsidR="00162CD7">
        <w:rPr>
          <w:rFonts w:ascii="Arial" w:hAnsi="Arial" w:cs="Arial"/>
        </w:rPr>
        <w:t>similar sets of cells (e.g., plates) run in parallel in the same experiment.</w:t>
      </w:r>
      <w:r w:rsidR="00B419C7">
        <w:rPr>
          <w:rFonts w:ascii="Arial" w:hAnsi="Arial" w:cs="Arial"/>
        </w:rPr>
        <w:t xml:space="preserve">  Even then, TCRs would be expected to differ between the two sets of cells; but the proportion of </w:t>
      </w:r>
      <w:proofErr w:type="spellStart"/>
      <w:r w:rsidR="00B419C7">
        <w:rPr>
          <w:rFonts w:ascii="Arial" w:hAnsi="Arial" w:cs="Arial"/>
        </w:rPr>
        <w:t>phenotyping</w:t>
      </w:r>
      <w:proofErr w:type="spellEnd"/>
      <w:r w:rsidR="00B419C7">
        <w:rPr>
          <w:rFonts w:ascii="Arial" w:hAnsi="Arial" w:cs="Arial"/>
        </w:rPr>
        <w:t xml:space="preserve"> gene calls should be similar.  </w:t>
      </w:r>
      <w:r w:rsidR="00B419C7" w:rsidRPr="00554C26">
        <w:rPr>
          <w:rFonts w:ascii="Arial" w:hAnsi="Arial" w:cs="Arial"/>
          <w:b/>
        </w:rPr>
        <w:t>Figure 5</w:t>
      </w:r>
      <w:r w:rsidR="00B419C7">
        <w:rPr>
          <w:rFonts w:ascii="Arial" w:hAnsi="Arial" w:cs="Arial"/>
        </w:rPr>
        <w:t xml:space="preserve"> shows an example of such a plate-to-plate comparison within an experiment.  The</w:t>
      </w:r>
      <w:r w:rsidR="00134A3D">
        <w:rPr>
          <w:rFonts w:ascii="Arial" w:hAnsi="Arial" w:cs="Arial"/>
        </w:rPr>
        <w:t xml:space="preserve"> inter-plate CV for total</w:t>
      </w:r>
      <w:r w:rsidR="00554C26">
        <w:rPr>
          <w:rFonts w:ascii="Arial" w:hAnsi="Arial" w:cs="Arial"/>
        </w:rPr>
        <w:t xml:space="preserve"> </w:t>
      </w:r>
      <w:proofErr w:type="spellStart"/>
      <w:r w:rsidR="00554C26">
        <w:rPr>
          <w:rFonts w:ascii="Arial" w:hAnsi="Arial" w:cs="Arial"/>
        </w:rPr>
        <w:t>phenotyping</w:t>
      </w:r>
      <w:proofErr w:type="spellEnd"/>
      <w:r w:rsidR="00554C26">
        <w:rPr>
          <w:rFonts w:ascii="Arial" w:hAnsi="Arial" w:cs="Arial"/>
        </w:rPr>
        <w:t xml:space="preserve"> gene calls was 1%.  The average CV for individual </w:t>
      </w:r>
      <w:proofErr w:type="spellStart"/>
      <w:r w:rsidR="00554C26">
        <w:rPr>
          <w:rFonts w:ascii="Arial" w:hAnsi="Arial" w:cs="Arial"/>
        </w:rPr>
        <w:t>phenotyping</w:t>
      </w:r>
      <w:proofErr w:type="spellEnd"/>
      <w:r w:rsidR="00554C26">
        <w:rPr>
          <w:rFonts w:ascii="Arial" w:hAnsi="Arial" w:cs="Arial"/>
        </w:rPr>
        <w:t xml:space="preserve"> gene calls was </w:t>
      </w:r>
      <w:r w:rsidR="00CD57A3">
        <w:rPr>
          <w:rFonts w:ascii="Arial" w:hAnsi="Arial" w:cs="Arial"/>
        </w:rPr>
        <w:t>32% (range: 0 to 141%).  F</w:t>
      </w:r>
      <w:r w:rsidR="00554C26">
        <w:rPr>
          <w:rFonts w:ascii="Arial" w:hAnsi="Arial" w:cs="Arial"/>
        </w:rPr>
        <w:t xml:space="preserve">or genes expressed in &gt;5% of wells, the average CV was 15% (range: 0 to 33%).  </w:t>
      </w:r>
      <w:r w:rsidR="00CD57A3" w:rsidRPr="003E296A">
        <w:rPr>
          <w:rFonts w:ascii="Arial" w:hAnsi="Arial" w:cs="Arial"/>
          <w:color w:val="C00000"/>
        </w:rPr>
        <w:t xml:space="preserve">Genes expressed in &lt;5% of wells, as expected, had a higher CV, due to counting statistics.  </w:t>
      </w:r>
      <w:r w:rsidR="00554C26">
        <w:rPr>
          <w:rFonts w:ascii="Arial" w:hAnsi="Arial" w:cs="Arial"/>
        </w:rPr>
        <w:t xml:space="preserve">This </w:t>
      </w:r>
      <w:r w:rsidR="00CD57A3">
        <w:rPr>
          <w:rFonts w:ascii="Arial" w:hAnsi="Arial" w:cs="Arial"/>
        </w:rPr>
        <w:t xml:space="preserve">still </w:t>
      </w:r>
      <w:r w:rsidR="00554C26">
        <w:rPr>
          <w:rFonts w:ascii="Arial" w:hAnsi="Arial" w:cs="Arial"/>
        </w:rPr>
        <w:t xml:space="preserve">suggests good reproducibility, given the low number of cells per plate (96) compared to platforms like flow </w:t>
      </w:r>
      <w:proofErr w:type="spellStart"/>
      <w:r w:rsidR="00554C26">
        <w:rPr>
          <w:rFonts w:ascii="Arial" w:hAnsi="Arial" w:cs="Arial"/>
        </w:rPr>
        <w:t>cytometry</w:t>
      </w:r>
      <w:proofErr w:type="spellEnd"/>
      <w:r w:rsidR="00554C26">
        <w:rPr>
          <w:rFonts w:ascii="Arial" w:hAnsi="Arial" w:cs="Arial"/>
        </w:rPr>
        <w:t xml:space="preserve"> (10s of thousands).</w:t>
      </w:r>
    </w:p>
    <w:p w:rsidR="006E1598" w:rsidRPr="00E207B1" w:rsidRDefault="006E1598" w:rsidP="008820DA">
      <w:pPr>
        <w:rPr>
          <w:rFonts w:ascii="Arial" w:hAnsi="Arial" w:cs="Arial"/>
        </w:rPr>
      </w:pPr>
    </w:p>
    <w:p w:rsidR="00A6751B" w:rsidRDefault="003E296A" w:rsidP="008820DA">
      <w:pPr>
        <w:rPr>
          <w:rFonts w:ascii="Arial" w:hAnsi="Arial" w:cs="Arial"/>
          <w:b/>
        </w:rPr>
      </w:pPr>
      <w:r w:rsidRPr="00B419C7">
        <w:rPr>
          <w:noProof/>
        </w:rPr>
        <w:drawing>
          <wp:inline distT="0" distB="0" distL="0" distR="0">
            <wp:extent cx="4575810" cy="3356610"/>
            <wp:effectExtent l="0" t="0" r="0" b="0"/>
            <wp:docPr id="21" name="Picture 21" descr="Heatmap showing expression of core phenotyping genes from a pair of replicate plates from the same sort run, processed in parallel for scTCRse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Heatmap showing expression of core phenotyping genes from a pair of replicate plates from the same sort run, processed in parallel for scTCRseq."/>
                    <pic:cNvPicPr/>
                  </pic:nvPicPr>
                  <pic:blipFill>
                    <a:blip r:embed="rId16"/>
                    <a:stretch>
                      <a:fillRect/>
                    </a:stretch>
                  </pic:blipFill>
                  <pic:spPr>
                    <a:xfrm>
                      <a:off x="0" y="0"/>
                      <a:ext cx="4575810" cy="3356610"/>
                    </a:xfrm>
                    <a:prstGeom prst="rect">
                      <a:avLst/>
                    </a:prstGeom>
                  </pic:spPr>
                </pic:pic>
              </a:graphicData>
            </a:graphic>
          </wp:inline>
        </w:drawing>
      </w:r>
      <w:r w:rsidR="000B32DA">
        <w:rPr>
          <w:rFonts w:ascii="Arial" w:hAnsi="Arial" w:cs="Arial"/>
          <w:b/>
          <w:noProof/>
        </w:rPr>
      </w:r>
      <w:r w:rsidR="000B32DA">
        <w:rPr>
          <w:rFonts w:ascii="Arial" w:hAnsi="Arial" w:cs="Arial"/>
          <w:b/>
          <w:noProof/>
        </w:rPr>
        <w:pict>
          <v:shape id="Text Box 22" o:spid="_x0000_s1037" type="#_x0000_t202" style="width:106.35pt;height:263.25pt;visibility:visible;mso-position-horizontal-relative:char;mso-position-vertical-relative:line" fillcolor="white [3201]" stroked="f" strokeweight=".5pt">
            <v:textbox>
              <w:txbxContent>
                <w:p w:rsidR="00B419C7" w:rsidRPr="006C1E0A" w:rsidRDefault="00B419C7">
                  <w:pPr>
                    <w:rPr>
                      <w:rFonts w:ascii="Arial" w:hAnsi="Arial" w:cs="Arial"/>
                      <w:sz w:val="22"/>
                      <w:szCs w:val="22"/>
                    </w:rPr>
                  </w:pPr>
                  <w:r w:rsidRPr="006C1E0A">
                    <w:rPr>
                      <w:rFonts w:ascii="Arial" w:hAnsi="Arial" w:cs="Arial"/>
                      <w:b/>
                      <w:sz w:val="22"/>
                      <w:szCs w:val="22"/>
                    </w:rPr>
                    <w:t>Figure 5.</w:t>
                  </w:r>
                  <w:r w:rsidRPr="006C1E0A">
                    <w:rPr>
                      <w:rFonts w:ascii="Arial" w:hAnsi="Arial" w:cs="Arial"/>
                      <w:sz w:val="22"/>
                      <w:szCs w:val="22"/>
                    </w:rPr>
                    <w:t xml:space="preserve">  Example of </w:t>
                  </w:r>
                  <w:proofErr w:type="spellStart"/>
                  <w:r w:rsidRPr="006C1E0A">
                    <w:rPr>
                      <w:rFonts w:ascii="Arial" w:hAnsi="Arial" w:cs="Arial"/>
                      <w:sz w:val="22"/>
                      <w:szCs w:val="22"/>
                    </w:rPr>
                    <w:t>phenotyping</w:t>
                  </w:r>
                  <w:proofErr w:type="spellEnd"/>
                  <w:r w:rsidRPr="006C1E0A">
                    <w:rPr>
                      <w:rFonts w:ascii="Arial" w:hAnsi="Arial" w:cs="Arial"/>
                      <w:sz w:val="22"/>
                      <w:szCs w:val="22"/>
                    </w:rPr>
                    <w:t xml:space="preserve"> gene expression in two plates from the same sort run, processed in parallel for </w:t>
                  </w:r>
                  <w:proofErr w:type="spellStart"/>
                  <w:r w:rsidRPr="006C1E0A">
                    <w:rPr>
                      <w:rFonts w:ascii="Arial" w:hAnsi="Arial" w:cs="Arial"/>
                      <w:sz w:val="22"/>
                      <w:szCs w:val="22"/>
                    </w:rPr>
                    <w:t>scTCRseq</w:t>
                  </w:r>
                  <w:proofErr w:type="spellEnd"/>
                  <w:r w:rsidRPr="006C1E0A">
                    <w:rPr>
                      <w:rFonts w:ascii="Arial" w:hAnsi="Arial" w:cs="Arial"/>
                      <w:sz w:val="22"/>
                      <w:szCs w:val="22"/>
                    </w:rPr>
                    <w:t>.</w:t>
                  </w:r>
                  <w:r w:rsidR="00554C26" w:rsidRPr="006C1E0A">
                    <w:rPr>
                      <w:rFonts w:ascii="Arial" w:hAnsi="Arial" w:cs="Arial"/>
                      <w:sz w:val="22"/>
                      <w:szCs w:val="22"/>
                    </w:rPr>
                    <w:t xml:space="preserve"> The inter-plate CV for total </w:t>
                  </w:r>
                  <w:proofErr w:type="spellStart"/>
                  <w:r w:rsidR="00554C26" w:rsidRPr="006C1E0A">
                    <w:rPr>
                      <w:rFonts w:ascii="Arial" w:hAnsi="Arial" w:cs="Arial"/>
                      <w:sz w:val="22"/>
                      <w:szCs w:val="22"/>
                    </w:rPr>
                    <w:t>phenotyping</w:t>
                  </w:r>
                  <w:proofErr w:type="spellEnd"/>
                  <w:r w:rsidR="00554C26" w:rsidRPr="006C1E0A">
                    <w:rPr>
                      <w:rFonts w:ascii="Arial" w:hAnsi="Arial" w:cs="Arial"/>
                      <w:sz w:val="22"/>
                      <w:szCs w:val="22"/>
                    </w:rPr>
                    <w:t xml:space="preserve"> gene calls was 1%.</w:t>
                  </w:r>
                  <w:r w:rsidRPr="006C1E0A">
                    <w:rPr>
                      <w:rFonts w:ascii="Arial" w:hAnsi="Arial" w:cs="Arial"/>
                      <w:sz w:val="22"/>
                      <w:szCs w:val="22"/>
                    </w:rPr>
                    <w:t xml:space="preserve"> </w:t>
                  </w:r>
                </w:p>
              </w:txbxContent>
            </v:textbox>
            <w10:wrap type="none"/>
            <w10:anchorlock/>
          </v:shape>
        </w:pict>
      </w:r>
    </w:p>
    <w:p w:rsidR="00912596" w:rsidRDefault="00912596" w:rsidP="008820DA">
      <w:pPr>
        <w:rPr>
          <w:rFonts w:ascii="Arial" w:hAnsi="Arial" w:cs="Arial"/>
          <w:b/>
        </w:rPr>
      </w:pPr>
    </w:p>
    <w:p w:rsidR="00912596" w:rsidRDefault="00912596" w:rsidP="008820DA">
      <w:pPr>
        <w:rPr>
          <w:rFonts w:ascii="Arial" w:hAnsi="Arial" w:cs="Arial"/>
          <w:b/>
        </w:rPr>
      </w:pPr>
    </w:p>
    <w:p w:rsidR="00B5505C" w:rsidRDefault="00B5505C">
      <w:pPr>
        <w:rPr>
          <w:rFonts w:ascii="Arial" w:hAnsi="Arial" w:cs="Arial"/>
          <w:b/>
        </w:rPr>
      </w:pPr>
      <w:r>
        <w:rPr>
          <w:rFonts w:ascii="Arial" w:hAnsi="Arial" w:cs="Arial"/>
          <w:b/>
        </w:rPr>
        <w:br w:type="page"/>
      </w:r>
    </w:p>
    <w:p w:rsidR="001A5F41" w:rsidRDefault="00CD57A3" w:rsidP="001A5F41">
      <w:pPr>
        <w:pStyle w:val="Heading1"/>
      </w:pPr>
      <w:r>
        <w:lastRenderedPageBreak/>
        <w:t>5</w:t>
      </w:r>
      <w:r w:rsidR="00175FB5">
        <w:t xml:space="preserve">. </w:t>
      </w:r>
      <w:r w:rsidR="00BB568F">
        <w:t>Analytical Specificity.</w:t>
      </w:r>
    </w:p>
    <w:p w:rsidR="00BB568F" w:rsidRDefault="00BB568F" w:rsidP="008820DA">
      <w:pPr>
        <w:rPr>
          <w:rFonts w:ascii="Arial" w:hAnsi="Arial" w:cs="Arial"/>
        </w:rPr>
      </w:pPr>
      <w:r>
        <w:rPr>
          <w:rFonts w:ascii="Arial" w:hAnsi="Arial" w:cs="Arial"/>
        </w:rPr>
        <w:t xml:space="preserve">Two </w:t>
      </w:r>
      <w:proofErr w:type="spellStart"/>
      <w:r>
        <w:rPr>
          <w:rFonts w:ascii="Arial" w:hAnsi="Arial" w:cs="Arial"/>
        </w:rPr>
        <w:t>clonal</w:t>
      </w:r>
      <w:proofErr w:type="spellEnd"/>
      <w:r>
        <w:rPr>
          <w:rFonts w:ascii="Arial" w:hAnsi="Arial" w:cs="Arial"/>
        </w:rPr>
        <w:t xml:space="preserve"> MAIT cell lines,</w:t>
      </w:r>
      <w:r w:rsidR="00066146">
        <w:rPr>
          <w:rFonts w:ascii="Arial" w:hAnsi="Arial" w:cs="Arial"/>
        </w:rPr>
        <w:t xml:space="preserve"> obtained from David </w:t>
      </w:r>
      <w:proofErr w:type="spellStart"/>
      <w:r w:rsidR="00066146">
        <w:rPr>
          <w:rFonts w:ascii="Arial" w:hAnsi="Arial" w:cs="Arial"/>
        </w:rPr>
        <w:t>Lewinsohn</w:t>
      </w:r>
      <w:proofErr w:type="spellEnd"/>
      <w:r w:rsidR="00066146">
        <w:rPr>
          <w:rFonts w:ascii="Arial" w:hAnsi="Arial" w:cs="Arial"/>
        </w:rPr>
        <w:t xml:space="preserve"> (</w:t>
      </w:r>
      <w:r>
        <w:rPr>
          <w:rFonts w:ascii="Arial" w:hAnsi="Arial" w:cs="Arial"/>
        </w:rPr>
        <w:t>OHSU</w:t>
      </w:r>
      <w:r w:rsidR="00066146">
        <w:rPr>
          <w:rFonts w:ascii="Arial" w:hAnsi="Arial" w:cs="Arial"/>
        </w:rPr>
        <w:t>)</w:t>
      </w:r>
      <w:r>
        <w:rPr>
          <w:rFonts w:ascii="Arial" w:hAnsi="Arial" w:cs="Arial"/>
        </w:rPr>
        <w:t xml:space="preserve">, were single-cell sorted into individual 96-well plates and subjected </w:t>
      </w:r>
      <w:r w:rsidR="00066146">
        <w:rPr>
          <w:rFonts w:ascii="Arial" w:hAnsi="Arial" w:cs="Arial"/>
        </w:rPr>
        <w:t>to</w:t>
      </w:r>
      <w:r>
        <w:rPr>
          <w:rFonts w:ascii="Arial" w:hAnsi="Arial" w:cs="Arial"/>
        </w:rPr>
        <w:t xml:space="preserve"> the </w:t>
      </w:r>
      <w:proofErr w:type="spellStart"/>
      <w:r>
        <w:rPr>
          <w:rFonts w:ascii="Arial" w:hAnsi="Arial" w:cs="Arial"/>
        </w:rPr>
        <w:t>scTCRseq</w:t>
      </w:r>
      <w:proofErr w:type="spellEnd"/>
      <w:r>
        <w:rPr>
          <w:rFonts w:ascii="Arial" w:hAnsi="Arial" w:cs="Arial"/>
        </w:rPr>
        <w:t xml:space="preserve"> assay (</w:t>
      </w:r>
      <w:r w:rsidRPr="00BB568F">
        <w:rPr>
          <w:rFonts w:ascii="Arial" w:hAnsi="Arial" w:cs="Arial"/>
          <w:b/>
        </w:rPr>
        <w:t xml:space="preserve">Figure </w:t>
      </w:r>
      <w:r w:rsidR="00FA6AAE">
        <w:rPr>
          <w:rFonts w:ascii="Arial" w:hAnsi="Arial" w:cs="Arial"/>
          <w:b/>
        </w:rPr>
        <w:t>6</w:t>
      </w:r>
      <w:r>
        <w:rPr>
          <w:rFonts w:ascii="Arial" w:hAnsi="Arial" w:cs="Arial"/>
        </w:rPr>
        <w:t xml:space="preserve">).  Assuming true </w:t>
      </w:r>
      <w:proofErr w:type="spellStart"/>
      <w:r>
        <w:rPr>
          <w:rFonts w:ascii="Arial" w:hAnsi="Arial" w:cs="Arial"/>
        </w:rPr>
        <w:t>clonality</w:t>
      </w:r>
      <w:proofErr w:type="spellEnd"/>
      <w:r>
        <w:rPr>
          <w:rFonts w:ascii="Arial" w:hAnsi="Arial" w:cs="Arial"/>
        </w:rPr>
        <w:t>, lack of environmental contamination, and fidelity of sequencing and analysis, these should each generate a single reported TCR</w:t>
      </w:r>
      <w:r w:rsidRPr="00BB568F">
        <w:rPr>
          <w:rFonts w:ascii="Symbol" w:hAnsi="Symbol" w:cs="Arial"/>
        </w:rPr>
        <w:t></w:t>
      </w:r>
      <w:r>
        <w:rPr>
          <w:rFonts w:ascii="Arial" w:hAnsi="Arial" w:cs="Arial"/>
        </w:rPr>
        <w:t xml:space="preserve"> and TCR</w:t>
      </w:r>
      <w:r w:rsidRPr="00BB568F">
        <w:rPr>
          <w:rFonts w:ascii="Symbol" w:hAnsi="Symbol" w:cs="Arial"/>
        </w:rPr>
        <w:t></w:t>
      </w:r>
      <w:r>
        <w:rPr>
          <w:rFonts w:ascii="Arial" w:hAnsi="Arial" w:cs="Arial"/>
        </w:rPr>
        <w:t xml:space="preserve"> call, and more specifically, a single CDR3</w:t>
      </w:r>
      <w:r w:rsidRPr="00BB568F">
        <w:rPr>
          <w:rFonts w:ascii="Symbol" w:hAnsi="Symbol" w:cs="Arial"/>
        </w:rPr>
        <w:t></w:t>
      </w:r>
      <w:r>
        <w:rPr>
          <w:rFonts w:ascii="Arial" w:hAnsi="Arial" w:cs="Arial"/>
        </w:rPr>
        <w:t xml:space="preserve"> and CDR3</w:t>
      </w:r>
      <w:r w:rsidRPr="00BB568F">
        <w:rPr>
          <w:rFonts w:ascii="Symbol" w:hAnsi="Symbol" w:cs="Arial"/>
        </w:rPr>
        <w:t></w:t>
      </w:r>
      <w:r>
        <w:rPr>
          <w:rFonts w:ascii="Arial" w:hAnsi="Arial" w:cs="Arial"/>
        </w:rPr>
        <w:t xml:space="preserve"> sequence</w:t>
      </w:r>
      <w:r w:rsidR="00066146">
        <w:rPr>
          <w:rFonts w:ascii="Arial" w:hAnsi="Arial" w:cs="Arial"/>
        </w:rPr>
        <w:t>,</w:t>
      </w:r>
      <w:r>
        <w:rPr>
          <w:rFonts w:ascii="Arial" w:hAnsi="Arial" w:cs="Arial"/>
        </w:rPr>
        <w:t xml:space="preserve"> per clone.  As seen in the figure, this was the case for CDR3</w:t>
      </w:r>
      <w:r w:rsidRPr="0005529A">
        <w:rPr>
          <w:rFonts w:ascii="Symbol" w:hAnsi="Symbol" w:cs="Arial"/>
        </w:rPr>
        <w:t></w:t>
      </w:r>
      <w:r>
        <w:rPr>
          <w:rFonts w:ascii="Arial" w:hAnsi="Arial" w:cs="Arial"/>
        </w:rPr>
        <w:t xml:space="preserve"> for both clones (100% identity of CDR3</w:t>
      </w:r>
      <w:r w:rsidRPr="0005529A">
        <w:rPr>
          <w:rFonts w:ascii="Symbol" w:hAnsi="Symbol" w:cs="Arial"/>
        </w:rPr>
        <w:t></w:t>
      </w:r>
      <w:r>
        <w:rPr>
          <w:rFonts w:ascii="Arial" w:hAnsi="Arial" w:cs="Arial"/>
        </w:rPr>
        <w:t xml:space="preserve"> sequences called).  For CDR3</w:t>
      </w:r>
      <w:r w:rsidRPr="0005529A">
        <w:rPr>
          <w:rFonts w:ascii="Symbol" w:hAnsi="Symbol" w:cs="Arial"/>
        </w:rPr>
        <w:t></w:t>
      </w:r>
      <w:r>
        <w:rPr>
          <w:rFonts w:ascii="Arial" w:hAnsi="Arial" w:cs="Arial"/>
        </w:rPr>
        <w:t>, there was 98.8% and 94.1% identity in sequences called for the two clones, respectively.  The non-identical CDR3</w:t>
      </w:r>
      <w:r w:rsidRPr="0005529A">
        <w:rPr>
          <w:rFonts w:ascii="Symbol" w:hAnsi="Symbol" w:cs="Arial"/>
        </w:rPr>
        <w:t></w:t>
      </w:r>
      <w:r>
        <w:rPr>
          <w:rFonts w:ascii="Arial" w:hAnsi="Arial" w:cs="Arial"/>
        </w:rPr>
        <w:t xml:space="preserve"> sequences could have been the result of sequencing errors</w:t>
      </w:r>
      <w:r w:rsidR="0005529A">
        <w:rPr>
          <w:rFonts w:ascii="Arial" w:hAnsi="Arial" w:cs="Arial"/>
        </w:rPr>
        <w:t>,</w:t>
      </w:r>
      <w:r>
        <w:rPr>
          <w:rFonts w:ascii="Arial" w:hAnsi="Arial" w:cs="Arial"/>
        </w:rPr>
        <w:t xml:space="preserve"> or </w:t>
      </w:r>
      <w:r w:rsidR="00066146">
        <w:rPr>
          <w:rFonts w:ascii="Arial" w:hAnsi="Arial" w:cs="Arial"/>
        </w:rPr>
        <w:t xml:space="preserve">they </w:t>
      </w:r>
      <w:r>
        <w:rPr>
          <w:rFonts w:ascii="Arial" w:hAnsi="Arial" w:cs="Arial"/>
        </w:rPr>
        <w:t xml:space="preserve">could reflect actual </w:t>
      </w:r>
      <w:r w:rsidR="00066146">
        <w:rPr>
          <w:rFonts w:ascii="Arial" w:hAnsi="Arial" w:cs="Arial"/>
        </w:rPr>
        <w:t>heterogeneity</w:t>
      </w:r>
      <w:r>
        <w:rPr>
          <w:rFonts w:ascii="Arial" w:hAnsi="Arial" w:cs="Arial"/>
        </w:rPr>
        <w:t xml:space="preserve"> propagated within a subpopulation of cells in the clone.</w:t>
      </w:r>
    </w:p>
    <w:p w:rsidR="003E296A" w:rsidRPr="00BB568F" w:rsidRDefault="003E296A" w:rsidP="008820DA">
      <w:pPr>
        <w:rPr>
          <w:rFonts w:ascii="Arial" w:hAnsi="Arial" w:cs="Arial"/>
        </w:rPr>
      </w:pPr>
    </w:p>
    <w:p w:rsidR="00BB568F" w:rsidRDefault="000B32DA" w:rsidP="008820DA">
      <w:pPr>
        <w:rPr>
          <w:rFonts w:ascii="Arial" w:hAnsi="Arial" w:cs="Arial"/>
          <w:b/>
        </w:rPr>
      </w:pPr>
      <w:r w:rsidRPr="000B32DA">
        <w:rPr>
          <w:rFonts w:ascii="Arial" w:hAnsi="Arial" w:cs="Arial"/>
          <w:noProof/>
          <w:sz w:val="22"/>
          <w:szCs w:val="22"/>
        </w:rPr>
      </w:r>
      <w:r w:rsidRPr="000B32DA">
        <w:rPr>
          <w:rFonts w:ascii="Arial" w:hAnsi="Arial" w:cs="Arial"/>
          <w:noProof/>
          <w:sz w:val="22"/>
          <w:szCs w:val="22"/>
        </w:rPr>
        <w:pict>
          <v:shape id="Text Box 9" o:spid="_x0000_s1036" type="#_x0000_t202" style="width:486pt;height:269.85pt;visibility:visible;mso-position-horizontal-relative:char;mso-position-vertical-relative:line" filled="f" stroked="f">
            <v:textbox>
              <w:txbxContent>
                <w:p w:rsidR="0005529A" w:rsidRPr="00045006" w:rsidRDefault="0005529A" w:rsidP="0005529A">
                  <w:pPr>
                    <w:rPr>
                      <w:rFonts w:ascii="Arial" w:hAnsi="Arial" w:cs="Arial"/>
                      <w:sz w:val="20"/>
                      <w:szCs w:val="20"/>
                    </w:rPr>
                  </w:pPr>
                  <w:r w:rsidRPr="00045006">
                    <w:rPr>
                      <w:rFonts w:ascii="Arial" w:hAnsi="Arial" w:cs="Arial"/>
                      <w:noProof/>
                      <w:sz w:val="20"/>
                      <w:szCs w:val="20"/>
                    </w:rPr>
                    <w:drawing>
                      <wp:inline distT="0" distB="0" distL="0" distR="0">
                        <wp:extent cx="5989320" cy="2794635"/>
                        <wp:effectExtent l="0" t="0" r="5080" b="0"/>
                        <wp:docPr id="10" name="Picture 10" descr="Donut graphs showing CDR3a and CDR3b sequences reported from two clonal cell lines. For CDR3a, 100% frequency is shown for both clones. For CDR3b, frequency for one clone is 98.82% and frequency for the other clone is 9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onut graphs showing CDR3a and CDR3b sequences reported from two clonal cell lines. For CDR3a, 100% frequency is shown for both clones. For CDR3b, frequency for one clone is 98.82% and frequency for the other clone is 94.05%."/>
                                <pic:cNvPicPr/>
                              </pic:nvPicPr>
                              <pic:blipFill>
                                <a:blip r:embed="rId17"/>
                                <a:stretch>
                                  <a:fillRect/>
                                </a:stretch>
                              </pic:blipFill>
                              <pic:spPr>
                                <a:xfrm>
                                  <a:off x="0" y="0"/>
                                  <a:ext cx="5989320" cy="2794635"/>
                                </a:xfrm>
                                <a:prstGeom prst="rect">
                                  <a:avLst/>
                                </a:prstGeom>
                              </pic:spPr>
                            </pic:pic>
                          </a:graphicData>
                        </a:graphic>
                      </wp:inline>
                    </w:drawing>
                  </w:r>
                </w:p>
                <w:p w:rsidR="0005529A" w:rsidRPr="00045006" w:rsidRDefault="0005529A" w:rsidP="0005529A">
                  <w:pPr>
                    <w:rPr>
                      <w:rFonts w:ascii="Arial" w:hAnsi="Arial" w:cs="Arial"/>
                      <w:sz w:val="20"/>
                      <w:szCs w:val="20"/>
                    </w:rPr>
                  </w:pPr>
                </w:p>
                <w:p w:rsidR="0005529A" w:rsidRPr="006C1E0A" w:rsidRDefault="0005529A" w:rsidP="0005529A">
                  <w:pPr>
                    <w:rPr>
                      <w:rFonts w:ascii="Arial" w:hAnsi="Arial" w:cs="Arial"/>
                      <w:sz w:val="22"/>
                      <w:szCs w:val="22"/>
                    </w:rPr>
                  </w:pPr>
                  <w:r w:rsidRPr="006C1E0A">
                    <w:rPr>
                      <w:rFonts w:ascii="Arial" w:hAnsi="Arial" w:cs="Arial"/>
                      <w:b/>
                      <w:sz w:val="22"/>
                      <w:szCs w:val="22"/>
                    </w:rPr>
                    <w:t xml:space="preserve">Figure </w:t>
                  </w:r>
                  <w:r w:rsidR="00FA6AAE" w:rsidRPr="006C1E0A">
                    <w:rPr>
                      <w:rFonts w:ascii="Arial" w:hAnsi="Arial" w:cs="Arial"/>
                      <w:b/>
                      <w:sz w:val="22"/>
                      <w:szCs w:val="22"/>
                    </w:rPr>
                    <w:t>6</w:t>
                  </w:r>
                  <w:r w:rsidRPr="006C1E0A">
                    <w:rPr>
                      <w:rFonts w:ascii="Arial" w:hAnsi="Arial" w:cs="Arial"/>
                      <w:b/>
                      <w:sz w:val="22"/>
                      <w:szCs w:val="22"/>
                    </w:rPr>
                    <w:t>.</w:t>
                  </w:r>
                  <w:r w:rsidRPr="006C1E0A">
                    <w:rPr>
                      <w:rFonts w:ascii="Arial" w:hAnsi="Arial" w:cs="Arial"/>
                      <w:sz w:val="22"/>
                      <w:szCs w:val="22"/>
                    </w:rPr>
                    <w:t xml:space="preserve">  TCR</w:t>
                  </w:r>
                  <w:r w:rsidRPr="006C1E0A">
                    <w:rPr>
                      <w:rFonts w:ascii="Symbol" w:hAnsi="Symbol" w:cs="Arial"/>
                      <w:sz w:val="22"/>
                      <w:szCs w:val="22"/>
                    </w:rPr>
                    <w:t></w:t>
                  </w:r>
                  <w:r w:rsidRPr="006C1E0A">
                    <w:rPr>
                      <w:rFonts w:ascii="Arial" w:hAnsi="Arial" w:cs="Arial"/>
                      <w:sz w:val="22"/>
                      <w:szCs w:val="22"/>
                    </w:rPr>
                    <w:t xml:space="preserve"> (left) and TCR</w:t>
                  </w:r>
                  <w:r w:rsidRPr="006C1E0A">
                    <w:rPr>
                      <w:rFonts w:ascii="Symbol" w:hAnsi="Symbol" w:cs="Arial"/>
                      <w:sz w:val="22"/>
                      <w:szCs w:val="22"/>
                    </w:rPr>
                    <w:t></w:t>
                  </w:r>
                  <w:r w:rsidRPr="006C1E0A">
                    <w:rPr>
                      <w:rFonts w:ascii="Arial" w:hAnsi="Arial" w:cs="Arial"/>
                      <w:sz w:val="22"/>
                      <w:szCs w:val="22"/>
                    </w:rPr>
                    <w:t xml:space="preserve"> (right) CDR3’s obtained from a total of 384 wells containing single cells of the two MAIT cell clones shown at left.</w:t>
                  </w:r>
                </w:p>
              </w:txbxContent>
            </v:textbox>
            <w10:wrap type="none"/>
            <w10:anchorlock/>
          </v:shape>
        </w:pict>
      </w:r>
    </w:p>
    <w:p w:rsidR="0005529A" w:rsidRDefault="0005529A" w:rsidP="008820DA">
      <w:pPr>
        <w:rPr>
          <w:rFonts w:ascii="Arial" w:hAnsi="Arial" w:cs="Arial"/>
          <w:b/>
        </w:rPr>
      </w:pPr>
    </w:p>
    <w:p w:rsidR="0005529A" w:rsidRDefault="0005529A" w:rsidP="008820DA">
      <w:pPr>
        <w:rPr>
          <w:rFonts w:ascii="Arial" w:hAnsi="Arial" w:cs="Arial"/>
          <w:b/>
        </w:rPr>
      </w:pPr>
    </w:p>
    <w:p w:rsidR="00B5505C" w:rsidRDefault="00B5505C">
      <w:pPr>
        <w:rPr>
          <w:rFonts w:ascii="Arial" w:hAnsi="Arial" w:cs="Arial"/>
          <w:b/>
        </w:rPr>
      </w:pPr>
      <w:r>
        <w:rPr>
          <w:rFonts w:ascii="Arial" w:hAnsi="Arial" w:cs="Arial"/>
          <w:b/>
        </w:rPr>
        <w:br w:type="page"/>
      </w:r>
    </w:p>
    <w:p w:rsidR="001A5F41" w:rsidRDefault="00CD57A3" w:rsidP="001A5F41">
      <w:pPr>
        <w:pStyle w:val="Heading1"/>
      </w:pPr>
      <w:r>
        <w:lastRenderedPageBreak/>
        <w:t>6</w:t>
      </w:r>
      <w:r w:rsidR="00175FB5">
        <w:t xml:space="preserve">. </w:t>
      </w:r>
      <w:r w:rsidR="00E568C4">
        <w:t>Contamination between wells</w:t>
      </w:r>
      <w:r w:rsidR="00FF7B22" w:rsidRPr="00E72F74">
        <w:t>.</w:t>
      </w:r>
    </w:p>
    <w:p w:rsidR="00E173A4" w:rsidRPr="00E72F74" w:rsidRDefault="00E568C4">
      <w:pPr>
        <w:rPr>
          <w:rFonts w:ascii="Arial" w:hAnsi="Arial" w:cs="Arial"/>
        </w:rPr>
      </w:pPr>
      <w:r>
        <w:rPr>
          <w:rFonts w:ascii="Arial" w:hAnsi="Arial" w:cs="Arial"/>
        </w:rPr>
        <w:t>To test whether RNA might cross-contaminate adjacent wells in the automated protocol, we performed a “checkerboard” experiment (</w:t>
      </w:r>
      <w:r w:rsidRPr="00E568C4">
        <w:rPr>
          <w:rFonts w:ascii="Arial" w:hAnsi="Arial" w:cs="Arial"/>
          <w:b/>
        </w:rPr>
        <w:t xml:space="preserve">Figure </w:t>
      </w:r>
      <w:r w:rsidR="00FA6AAE">
        <w:rPr>
          <w:rFonts w:ascii="Arial" w:hAnsi="Arial" w:cs="Arial"/>
          <w:b/>
        </w:rPr>
        <w:t>7</w:t>
      </w:r>
      <w:r>
        <w:rPr>
          <w:rFonts w:ascii="Arial" w:hAnsi="Arial" w:cs="Arial"/>
        </w:rPr>
        <w:t xml:space="preserve">), in which adjacent wells were spiked with activated PBMC RNA, or left empty, in a “checkerboard” pattern.  Using a cutoff of 5 reads per well, all positive wells for the 17 </w:t>
      </w:r>
      <w:proofErr w:type="spellStart"/>
      <w:r>
        <w:rPr>
          <w:rFonts w:ascii="Arial" w:hAnsi="Arial" w:cs="Arial"/>
        </w:rPr>
        <w:t>phenotyping</w:t>
      </w:r>
      <w:proofErr w:type="spellEnd"/>
      <w:r>
        <w:rPr>
          <w:rFonts w:ascii="Arial" w:hAnsi="Arial" w:cs="Arial"/>
        </w:rPr>
        <w:t xml:space="preserve"> genes were confined to the spiked wells.  Furthermore, all 17 genes showed positive signals in at least some wells, demonstrating that the primers were working, although some wells were not positive for every gene.</w:t>
      </w:r>
    </w:p>
    <w:p w:rsidR="002F497C" w:rsidRPr="00E72F74" w:rsidRDefault="002F497C">
      <w:pPr>
        <w:rPr>
          <w:rFonts w:ascii="Arial" w:hAnsi="Arial" w:cs="Arial"/>
        </w:rPr>
      </w:pPr>
    </w:p>
    <w:p w:rsidR="00FA0F42" w:rsidRDefault="000B32DA">
      <w:pPr>
        <w:rPr>
          <w:rFonts w:ascii="Arial" w:hAnsi="Arial" w:cs="Arial"/>
          <w:b/>
        </w:rPr>
      </w:pPr>
      <w:r>
        <w:rPr>
          <w:rFonts w:ascii="Arial" w:hAnsi="Arial" w:cs="Arial"/>
          <w:b/>
          <w:noProof/>
        </w:rPr>
      </w:r>
      <w:r>
        <w:rPr>
          <w:rFonts w:ascii="Arial" w:hAnsi="Arial" w:cs="Arial"/>
          <w:b/>
          <w:noProof/>
        </w:rPr>
        <w:pict>
          <v:shape id="Text Box 12" o:spid="_x0000_s1035" type="#_x0000_t202" style="width:468pt;height:288.65pt;visibility:visible;mso-position-horizontal-relative:char;mso-position-vertical-relative:line" fillcolor="white [3201]" stroked="f" strokeweight=".5pt">
            <v:textbox>
              <w:txbxContent>
                <w:p w:rsidR="008F2E9F" w:rsidRDefault="00E568C4" w:rsidP="008F2E9F">
                  <w:r w:rsidRPr="00E568C4">
                    <w:rPr>
                      <w:noProof/>
                    </w:rPr>
                    <w:drawing>
                      <wp:inline distT="0" distB="0" distL="0" distR="0">
                        <wp:extent cx="5754370" cy="2342515"/>
                        <wp:effectExtent l="0" t="0" r="0" b="0"/>
                        <wp:docPr id="1" name="Picture 1" descr="A heatmap showing results of the &quot;Checkerboard&quot; experiment in spiked vs. empty cells.  The right side represents empty wells and is all blue.  The left side represents spiked cells and contains much red color, in addition to some 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heatmap showing results of the &quot;Checkerboard&quot; experiment in spiked vs. empty cells.  The right side represents empty wells and is all blue.  The left side represents spiked cells and contains much red color, in addition to some blue."/>
                                <pic:cNvPicPr/>
                              </pic:nvPicPr>
                              <pic:blipFill>
                                <a:blip r:embed="rId18"/>
                                <a:stretch>
                                  <a:fillRect/>
                                </a:stretch>
                              </pic:blipFill>
                              <pic:spPr>
                                <a:xfrm>
                                  <a:off x="0" y="0"/>
                                  <a:ext cx="5754370" cy="2342515"/>
                                </a:xfrm>
                                <a:prstGeom prst="rect">
                                  <a:avLst/>
                                </a:prstGeom>
                              </pic:spPr>
                            </pic:pic>
                          </a:graphicData>
                        </a:graphic>
                      </wp:inline>
                    </w:drawing>
                  </w:r>
                </w:p>
                <w:p w:rsidR="008F2E9F" w:rsidRDefault="008F2E9F" w:rsidP="008F2E9F"/>
                <w:p w:rsidR="008F2E9F" w:rsidRPr="006C1E0A" w:rsidRDefault="008F2E9F" w:rsidP="008F2E9F">
                  <w:pPr>
                    <w:rPr>
                      <w:rFonts w:ascii="Arial" w:hAnsi="Arial" w:cs="Arial"/>
                      <w:sz w:val="22"/>
                      <w:szCs w:val="22"/>
                    </w:rPr>
                  </w:pPr>
                  <w:r w:rsidRPr="006C1E0A">
                    <w:rPr>
                      <w:rFonts w:ascii="Arial" w:hAnsi="Arial" w:cs="Arial"/>
                      <w:b/>
                      <w:sz w:val="22"/>
                      <w:szCs w:val="22"/>
                    </w:rPr>
                    <w:t xml:space="preserve">Figure </w:t>
                  </w:r>
                  <w:r w:rsidR="00FA6AAE" w:rsidRPr="006C1E0A">
                    <w:rPr>
                      <w:rFonts w:ascii="Arial" w:hAnsi="Arial" w:cs="Arial"/>
                      <w:b/>
                      <w:sz w:val="22"/>
                      <w:szCs w:val="22"/>
                    </w:rPr>
                    <w:t>7</w:t>
                  </w:r>
                  <w:r w:rsidRPr="006C1E0A">
                    <w:rPr>
                      <w:rFonts w:ascii="Arial" w:hAnsi="Arial" w:cs="Arial"/>
                      <w:b/>
                      <w:sz w:val="22"/>
                      <w:szCs w:val="22"/>
                    </w:rPr>
                    <w:t xml:space="preserve">.  </w:t>
                  </w:r>
                  <w:r w:rsidR="00E568C4" w:rsidRPr="006C1E0A">
                    <w:rPr>
                      <w:rFonts w:ascii="Arial" w:hAnsi="Arial" w:cs="Arial"/>
                      <w:b/>
                      <w:sz w:val="22"/>
                      <w:szCs w:val="22"/>
                    </w:rPr>
                    <w:t>“Checkerboard” testing of spiked vs. empty wells</w:t>
                  </w:r>
                  <w:r w:rsidRPr="006C1E0A">
                    <w:rPr>
                      <w:rFonts w:ascii="Arial" w:hAnsi="Arial" w:cs="Arial"/>
                      <w:b/>
                      <w:sz w:val="22"/>
                      <w:szCs w:val="22"/>
                    </w:rPr>
                    <w:t xml:space="preserve">.  </w:t>
                  </w:r>
                  <w:r w:rsidR="00E568C4" w:rsidRPr="006C1E0A">
                    <w:rPr>
                      <w:rFonts w:ascii="Arial" w:hAnsi="Arial" w:cs="Arial"/>
                      <w:sz w:val="22"/>
                      <w:szCs w:val="22"/>
                    </w:rPr>
                    <w:t xml:space="preserve">Alternating wells of a 96-well plate were spiked with RNA from PMA-stimulated PBMC, and the plate was subjected to </w:t>
                  </w:r>
                  <w:proofErr w:type="spellStart"/>
                  <w:r w:rsidR="00E568C4" w:rsidRPr="006C1E0A">
                    <w:rPr>
                      <w:rFonts w:ascii="Arial" w:hAnsi="Arial" w:cs="Arial"/>
                      <w:sz w:val="22"/>
                      <w:szCs w:val="22"/>
                    </w:rPr>
                    <w:t>scTCRseq</w:t>
                  </w:r>
                  <w:proofErr w:type="spellEnd"/>
                  <w:r w:rsidRPr="006C1E0A">
                    <w:rPr>
                      <w:rFonts w:ascii="Arial" w:hAnsi="Arial" w:cs="Arial"/>
                      <w:sz w:val="22"/>
                      <w:szCs w:val="22"/>
                    </w:rPr>
                    <w:t>.</w:t>
                  </w:r>
                  <w:r w:rsidR="00E568C4" w:rsidRPr="006C1E0A">
                    <w:rPr>
                      <w:rFonts w:ascii="Arial" w:hAnsi="Arial" w:cs="Arial"/>
                      <w:sz w:val="22"/>
                      <w:szCs w:val="22"/>
                    </w:rPr>
                    <w:t xml:space="preserve">  </w:t>
                  </w:r>
                  <w:proofErr w:type="spellStart"/>
                  <w:r w:rsidR="00E568C4" w:rsidRPr="006C1E0A">
                    <w:rPr>
                      <w:rFonts w:ascii="Arial" w:hAnsi="Arial" w:cs="Arial"/>
                      <w:sz w:val="22"/>
                      <w:szCs w:val="22"/>
                    </w:rPr>
                    <w:t>Phenotyping</w:t>
                  </w:r>
                  <w:proofErr w:type="spellEnd"/>
                  <w:r w:rsidR="00E568C4" w:rsidRPr="006C1E0A">
                    <w:rPr>
                      <w:rFonts w:ascii="Arial" w:hAnsi="Arial" w:cs="Arial"/>
                      <w:sz w:val="22"/>
                      <w:szCs w:val="22"/>
                    </w:rPr>
                    <w:t xml:space="preserve"> gene reads are shown for spiked wells (left half) vs. empty wells (right half).  All gene calls (&gt;5 reads/well) are confined to the spiked wells, demonstrating a lack of cross-contamination between adjacent wells.</w:t>
                  </w:r>
                </w:p>
                <w:p w:rsidR="008F2E9F" w:rsidRPr="008F2E9F" w:rsidRDefault="008F2E9F" w:rsidP="008F2E9F"/>
              </w:txbxContent>
            </v:textbox>
            <w10:wrap type="none"/>
            <w10:anchorlock/>
          </v:shape>
        </w:pict>
      </w:r>
    </w:p>
    <w:p w:rsidR="00FA0F42" w:rsidRDefault="00FA0F42">
      <w:pPr>
        <w:rPr>
          <w:rFonts w:ascii="Arial" w:hAnsi="Arial" w:cs="Arial"/>
          <w:b/>
        </w:rPr>
      </w:pPr>
    </w:p>
    <w:p w:rsidR="001D3A6E" w:rsidRDefault="001D3A6E">
      <w:pPr>
        <w:rPr>
          <w:rFonts w:ascii="Arial" w:hAnsi="Arial" w:cs="Arial"/>
          <w:b/>
        </w:rPr>
      </w:pPr>
      <w:r>
        <w:rPr>
          <w:rFonts w:ascii="Arial" w:hAnsi="Arial" w:cs="Arial"/>
          <w:b/>
        </w:rPr>
        <w:br w:type="page"/>
      </w:r>
    </w:p>
    <w:p w:rsidR="001A5F41" w:rsidRDefault="000F03F1" w:rsidP="001A5F41">
      <w:pPr>
        <w:pStyle w:val="Heading1"/>
      </w:pPr>
      <w:r>
        <w:lastRenderedPageBreak/>
        <w:t xml:space="preserve">7.  Effect of stimulation on </w:t>
      </w:r>
      <w:proofErr w:type="spellStart"/>
      <w:r>
        <w:t>phenotyping</w:t>
      </w:r>
      <w:proofErr w:type="spellEnd"/>
      <w:r>
        <w:t xml:space="preserve"> genes.</w:t>
      </w:r>
    </w:p>
    <w:p w:rsidR="00AD4FF9" w:rsidRDefault="000F03F1">
      <w:pPr>
        <w:rPr>
          <w:rFonts w:ascii="Arial" w:hAnsi="Arial" w:cs="Arial"/>
        </w:rPr>
      </w:pPr>
      <w:r>
        <w:rPr>
          <w:rFonts w:ascii="Arial" w:hAnsi="Arial" w:cs="Arial"/>
        </w:rPr>
        <w:t xml:space="preserve">Our default protocol is to use brief </w:t>
      </w:r>
      <w:proofErr w:type="spellStart"/>
      <w:r>
        <w:rPr>
          <w:rFonts w:ascii="Arial" w:hAnsi="Arial" w:cs="Arial"/>
        </w:rPr>
        <w:t>PMA+ionomycin</w:t>
      </w:r>
      <w:proofErr w:type="spellEnd"/>
      <w:r>
        <w:rPr>
          <w:rFonts w:ascii="Arial" w:hAnsi="Arial" w:cs="Arial"/>
        </w:rPr>
        <w:t xml:space="preserve"> stimulation to induce cytokine gene transcription, and thereby to reveal the functional capacity of the T cells.  To test the effect of</w:t>
      </w:r>
      <w:r w:rsidRPr="000F03F1">
        <w:rPr>
          <w:rFonts w:ascii="Arial" w:hAnsi="Arial" w:cs="Arial"/>
          <w:i/>
        </w:rPr>
        <w:t xml:space="preserve"> in vitro</w:t>
      </w:r>
      <w:r>
        <w:rPr>
          <w:rFonts w:ascii="Arial" w:hAnsi="Arial" w:cs="Arial"/>
        </w:rPr>
        <w:t xml:space="preserve"> stimulation, we did an experiment in which </w:t>
      </w:r>
      <w:r w:rsidR="00AD4FF9">
        <w:rPr>
          <w:rFonts w:ascii="Arial" w:hAnsi="Arial" w:cs="Arial"/>
        </w:rPr>
        <w:t>PBMC</w:t>
      </w:r>
      <w:r>
        <w:rPr>
          <w:rFonts w:ascii="Arial" w:hAnsi="Arial" w:cs="Arial"/>
        </w:rPr>
        <w:t xml:space="preserve"> were either rested 3 h or stimulated </w:t>
      </w:r>
      <w:r w:rsidR="00AD4FF9">
        <w:rPr>
          <w:rFonts w:ascii="Arial" w:hAnsi="Arial" w:cs="Arial"/>
        </w:rPr>
        <w:t xml:space="preserve">with </w:t>
      </w:r>
      <w:proofErr w:type="spellStart"/>
      <w:r w:rsidR="00AD4FF9">
        <w:rPr>
          <w:rFonts w:ascii="Arial" w:hAnsi="Arial" w:cs="Arial"/>
        </w:rPr>
        <w:t>PMA+ionomycin</w:t>
      </w:r>
      <w:proofErr w:type="spellEnd"/>
      <w:r w:rsidR="00AD4FF9">
        <w:rPr>
          <w:rFonts w:ascii="Arial" w:hAnsi="Arial" w:cs="Arial"/>
        </w:rPr>
        <w:t xml:space="preserve"> for 3 h, followed by single cell sorting of CD4+ T cells.  The results are shown in </w:t>
      </w:r>
      <w:r w:rsidR="00AD4FF9" w:rsidRPr="00AD4FF9">
        <w:rPr>
          <w:rFonts w:ascii="Arial" w:hAnsi="Arial" w:cs="Arial"/>
          <w:b/>
        </w:rPr>
        <w:t>Figure 8</w:t>
      </w:r>
      <w:r w:rsidR="00AD4FF9">
        <w:rPr>
          <w:rFonts w:ascii="Arial" w:hAnsi="Arial" w:cs="Arial"/>
        </w:rPr>
        <w:t>.  As expected, transcription factor expression was not much changed by stimulation, and we saw largely exclusive expression of GATA3 and RORC, for example.  By contrast, the cytokines IFN</w:t>
      </w:r>
      <w:r w:rsidR="00AD4FF9" w:rsidRPr="00AD4FF9">
        <w:rPr>
          <w:rFonts w:ascii="Symbol" w:hAnsi="Symbol" w:cs="Arial"/>
        </w:rPr>
        <w:t></w:t>
      </w:r>
      <w:r w:rsidR="00AD4FF9">
        <w:rPr>
          <w:rFonts w:ascii="Arial" w:hAnsi="Arial" w:cs="Arial"/>
        </w:rPr>
        <w:t xml:space="preserve">, IL-13, IL-17, IL-2, IL-21, and TNF were exclusively expressed under stimulated conditions (with the exception of a single IL-2+ cell in the </w:t>
      </w:r>
      <w:proofErr w:type="spellStart"/>
      <w:r w:rsidR="00AD4FF9">
        <w:rPr>
          <w:rFonts w:ascii="Arial" w:hAnsi="Arial" w:cs="Arial"/>
        </w:rPr>
        <w:t>unstimulated</w:t>
      </w:r>
      <w:proofErr w:type="spellEnd"/>
      <w:r w:rsidR="00AD4FF9">
        <w:rPr>
          <w:rFonts w:ascii="Arial" w:hAnsi="Arial" w:cs="Arial"/>
        </w:rPr>
        <w:t xml:space="preserve"> condition).  TGF</w:t>
      </w:r>
      <w:r w:rsidR="00AD4FF9" w:rsidRPr="00AD4FF9">
        <w:rPr>
          <w:rFonts w:ascii="Symbol" w:hAnsi="Symbol" w:cs="Arial"/>
        </w:rPr>
        <w:t></w:t>
      </w:r>
      <w:r w:rsidR="00AD4FF9">
        <w:rPr>
          <w:rFonts w:ascii="Arial" w:hAnsi="Arial" w:cs="Arial"/>
        </w:rPr>
        <w:t xml:space="preserve">, however, showed nearly equal expression frequency, stimulated as </w:t>
      </w:r>
      <w:proofErr w:type="spellStart"/>
      <w:r w:rsidR="00AD4FF9">
        <w:rPr>
          <w:rFonts w:ascii="Arial" w:hAnsi="Arial" w:cs="Arial"/>
        </w:rPr>
        <w:t>unstimulated</w:t>
      </w:r>
      <w:proofErr w:type="spellEnd"/>
      <w:r w:rsidR="00AD4FF9">
        <w:rPr>
          <w:rFonts w:ascii="Arial" w:hAnsi="Arial" w:cs="Arial"/>
        </w:rPr>
        <w:t>.  This could reflect translational control of this cytokine; it cannot be due to primer infidelity, because the TGF</w:t>
      </w:r>
      <w:r w:rsidR="00AD4FF9" w:rsidRPr="00AD4FF9">
        <w:rPr>
          <w:rFonts w:ascii="Symbol" w:hAnsi="Symbol" w:cs="Arial"/>
        </w:rPr>
        <w:t></w:t>
      </w:r>
      <w:r w:rsidR="00AD4FF9">
        <w:rPr>
          <w:rFonts w:ascii="Arial" w:hAnsi="Arial" w:cs="Arial"/>
        </w:rPr>
        <w:t xml:space="preserve"> </w:t>
      </w:r>
      <w:proofErr w:type="spellStart"/>
      <w:r w:rsidR="00AD4FF9">
        <w:rPr>
          <w:rFonts w:ascii="Arial" w:hAnsi="Arial" w:cs="Arial"/>
        </w:rPr>
        <w:t>cDNA</w:t>
      </w:r>
      <w:proofErr w:type="spellEnd"/>
      <w:r w:rsidR="00AD4FF9">
        <w:rPr>
          <w:rFonts w:ascii="Arial" w:hAnsi="Arial" w:cs="Arial"/>
        </w:rPr>
        <w:t xml:space="preserve"> sequence must be detected in order for the cell to be called as positive.  But it implies that TGF</w:t>
      </w:r>
      <w:r w:rsidR="00AD4FF9" w:rsidRPr="00AD4FF9">
        <w:rPr>
          <w:rFonts w:ascii="Symbol" w:hAnsi="Symbol" w:cs="Arial"/>
        </w:rPr>
        <w:t></w:t>
      </w:r>
      <w:r w:rsidR="00AD4FF9">
        <w:rPr>
          <w:rFonts w:ascii="Arial" w:hAnsi="Arial" w:cs="Arial"/>
        </w:rPr>
        <w:t xml:space="preserve"> expression in this assay may be less specific than expected </w:t>
      </w:r>
      <w:r w:rsidR="009D7C08">
        <w:rPr>
          <w:rFonts w:ascii="Arial" w:hAnsi="Arial" w:cs="Arial"/>
        </w:rPr>
        <w:t>from</w:t>
      </w:r>
      <w:r w:rsidR="00AD4FF9">
        <w:rPr>
          <w:rFonts w:ascii="Arial" w:hAnsi="Arial" w:cs="Arial"/>
        </w:rPr>
        <w:t xml:space="preserve"> protein expression patterns.</w:t>
      </w:r>
    </w:p>
    <w:p w:rsidR="003E296A" w:rsidRDefault="003E296A">
      <w:pPr>
        <w:rPr>
          <w:rFonts w:ascii="Arial" w:hAnsi="Arial" w:cs="Arial"/>
        </w:rPr>
      </w:pPr>
    </w:p>
    <w:p w:rsidR="00F91CFD" w:rsidRDefault="000B32DA">
      <w:pPr>
        <w:rPr>
          <w:rFonts w:ascii="Arial" w:hAnsi="Arial" w:cs="Arial"/>
        </w:rPr>
      </w:pPr>
      <w:r>
        <w:rPr>
          <w:rFonts w:ascii="Arial" w:hAnsi="Arial" w:cs="Arial"/>
          <w:noProof/>
        </w:rPr>
      </w:r>
      <w:r>
        <w:rPr>
          <w:rFonts w:ascii="Arial" w:hAnsi="Arial" w:cs="Arial"/>
          <w:noProof/>
        </w:rPr>
        <w:pict>
          <v:shape id="Text Box 7" o:spid="_x0000_s1034" type="#_x0000_t202" style="width:289.1pt;height:253.1pt;visibility:visible;mso-position-horizontal-relative:char;mso-position-vertical-relative:line" fillcolor="white [3201]" stroked="f" strokeweight=".5pt">
            <v:textbox>
              <w:txbxContent>
                <w:p w:rsidR="003E296A" w:rsidRDefault="003E296A" w:rsidP="003E296A">
                  <w:r w:rsidRPr="00AD4FF9">
                    <w:rPr>
                      <w:noProof/>
                    </w:rPr>
                    <w:drawing>
                      <wp:inline distT="0" distB="0" distL="0" distR="0">
                        <wp:extent cx="3616288" cy="3164840"/>
                        <wp:effectExtent l="0" t="0" r="3810" b="0"/>
                        <wp:docPr id="11" name="Picture 11" descr="Heatmap showing gene expression in unstimulated versus stimulated CD4+ T cells. Details in Figure 9 ca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Heatmap showing gene expression in unstimulated versus stimulated CD4+ T cells. Details in Figure 9 caption."/>
                                <pic:cNvPicPr/>
                              </pic:nvPicPr>
                              <pic:blipFill rotWithShape="1">
                                <a:blip r:embed="rId19"/>
                                <a:srcRect l="11810" t="3920" b="3171"/>
                                <a:stretch/>
                              </pic:blipFill>
                              <pic:spPr bwMode="auto">
                                <a:xfrm>
                                  <a:off x="0" y="0"/>
                                  <a:ext cx="3633899" cy="3180252"/>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txbxContent>
            </v:textbox>
            <w10:wrap type="none"/>
            <w10:anchorlock/>
          </v:shape>
        </w:pict>
      </w:r>
      <w:r>
        <w:rPr>
          <w:rFonts w:ascii="Arial" w:hAnsi="Arial" w:cs="Arial"/>
          <w:noProof/>
        </w:rPr>
      </w:r>
      <w:r>
        <w:rPr>
          <w:rFonts w:ascii="Arial" w:hAnsi="Arial" w:cs="Arial"/>
          <w:noProof/>
        </w:rPr>
        <w:pict>
          <v:shape id="Text Box 13" o:spid="_x0000_s1033" type="#_x0000_t202" style="width:167.25pt;height:249.2pt;visibility:visible;mso-position-horizontal-relative:char;mso-position-vertical-relative:line" fillcolor="white [3201]" stroked="f" strokeweight=".5pt">
            <v:textbox>
              <w:txbxContent>
                <w:p w:rsidR="003E296A" w:rsidRPr="00F91CFD" w:rsidRDefault="003E296A" w:rsidP="003E296A">
                  <w:pPr>
                    <w:rPr>
                      <w:rFonts w:ascii="Arial" w:hAnsi="Arial" w:cs="Arial"/>
                      <w:sz w:val="22"/>
                      <w:szCs w:val="22"/>
                    </w:rPr>
                  </w:pPr>
                  <w:r w:rsidRPr="00F91CFD">
                    <w:rPr>
                      <w:rFonts w:ascii="Arial" w:hAnsi="Arial" w:cs="Arial"/>
                      <w:b/>
                      <w:sz w:val="22"/>
                      <w:szCs w:val="22"/>
                    </w:rPr>
                    <w:t>Figure 9.</w:t>
                  </w:r>
                  <w:r>
                    <w:rPr>
                      <w:rFonts w:ascii="Arial" w:hAnsi="Arial" w:cs="Arial"/>
                      <w:sz w:val="22"/>
                      <w:szCs w:val="22"/>
                    </w:rPr>
                    <w:t xml:space="preserve">  Effect of </w:t>
                  </w:r>
                  <w:proofErr w:type="spellStart"/>
                  <w:r>
                    <w:rPr>
                      <w:rFonts w:ascii="Arial" w:hAnsi="Arial" w:cs="Arial"/>
                      <w:sz w:val="22"/>
                      <w:szCs w:val="22"/>
                    </w:rPr>
                    <w:t>PMA+ionomycin</w:t>
                  </w:r>
                  <w:proofErr w:type="spellEnd"/>
                  <w:r>
                    <w:rPr>
                      <w:rFonts w:ascii="Arial" w:hAnsi="Arial" w:cs="Arial"/>
                      <w:sz w:val="22"/>
                      <w:szCs w:val="22"/>
                    </w:rPr>
                    <w:t xml:space="preserve"> stimulation on </w:t>
                  </w:r>
                  <w:proofErr w:type="spellStart"/>
                  <w:r>
                    <w:rPr>
                      <w:rFonts w:ascii="Arial" w:hAnsi="Arial" w:cs="Arial"/>
                      <w:sz w:val="22"/>
                      <w:szCs w:val="22"/>
                    </w:rPr>
                    <w:t>phenotyping</w:t>
                  </w:r>
                  <w:proofErr w:type="spellEnd"/>
                  <w:r>
                    <w:rPr>
                      <w:rFonts w:ascii="Arial" w:hAnsi="Arial" w:cs="Arial"/>
                      <w:sz w:val="22"/>
                      <w:szCs w:val="22"/>
                    </w:rPr>
                    <w:t xml:space="preserve"> gene expression.  Left panel, </w:t>
                  </w:r>
                  <w:proofErr w:type="spellStart"/>
                  <w:r>
                    <w:rPr>
                      <w:rFonts w:ascii="Arial" w:hAnsi="Arial" w:cs="Arial"/>
                      <w:sz w:val="22"/>
                      <w:szCs w:val="22"/>
                    </w:rPr>
                    <w:t>unstimulated</w:t>
                  </w:r>
                  <w:proofErr w:type="spellEnd"/>
                  <w:r>
                    <w:rPr>
                      <w:rFonts w:ascii="Arial" w:hAnsi="Arial" w:cs="Arial"/>
                      <w:sz w:val="22"/>
                      <w:szCs w:val="22"/>
                    </w:rPr>
                    <w:t xml:space="preserve"> single-sorted CD4+ T cells; right panel, stimulated single-sorted CD4+ T cells from the same donor draw.  Note the induction of cytokines, particularly IL-2 and TNF, upon stimulation.</w:t>
                  </w:r>
                </w:p>
              </w:txbxContent>
            </v:textbox>
            <w10:wrap type="none"/>
            <w10:anchorlock/>
          </v:shape>
        </w:pict>
      </w:r>
    </w:p>
    <w:p w:rsidR="00AD4FF9" w:rsidRDefault="00AD4FF9">
      <w:pPr>
        <w:rPr>
          <w:rFonts w:ascii="Arial" w:hAnsi="Arial" w:cs="Arial"/>
        </w:rPr>
      </w:pPr>
    </w:p>
    <w:p w:rsidR="00B5505C" w:rsidRDefault="00B5505C">
      <w:pPr>
        <w:rPr>
          <w:rFonts w:ascii="Arial" w:hAnsi="Arial" w:cs="Arial"/>
          <w:b/>
        </w:rPr>
      </w:pPr>
      <w:r>
        <w:rPr>
          <w:rFonts w:ascii="Arial" w:hAnsi="Arial" w:cs="Arial"/>
          <w:b/>
        </w:rPr>
        <w:br w:type="page"/>
      </w:r>
    </w:p>
    <w:p w:rsidR="000F52E1" w:rsidRPr="00E72F74" w:rsidRDefault="00703778" w:rsidP="001A5F41">
      <w:pPr>
        <w:pStyle w:val="Heading1"/>
      </w:pPr>
      <w:r w:rsidRPr="00E72F74">
        <w:lastRenderedPageBreak/>
        <w:t>References</w:t>
      </w:r>
    </w:p>
    <w:p w:rsidR="003670E7" w:rsidRPr="003670E7" w:rsidRDefault="000B32DA">
      <w:pPr>
        <w:widowControl w:val="0"/>
        <w:autoSpaceDE w:val="0"/>
        <w:autoSpaceDN w:val="0"/>
        <w:adjustRightInd w:val="0"/>
        <w:rPr>
          <w:rFonts w:ascii="Arial" w:hAnsi="Arial" w:cs="Arial"/>
          <w:noProof/>
        </w:rPr>
      </w:pPr>
      <w:r w:rsidRPr="00E72F74">
        <w:rPr>
          <w:rFonts w:ascii="Arial" w:hAnsi="Arial" w:cs="Arial"/>
        </w:rPr>
        <w:fldChar w:fldCharType="begin"/>
      </w:r>
      <w:r w:rsidR="003670E7">
        <w:rPr>
          <w:rFonts w:ascii="Arial" w:hAnsi="Arial" w:cs="Arial"/>
        </w:rPr>
        <w:instrText>ADDIN F1000_CSL_BIBLIOGRAPHY</w:instrText>
      </w:r>
      <w:r w:rsidRPr="00E72F74">
        <w:rPr>
          <w:rFonts w:ascii="Arial" w:hAnsi="Arial" w:cs="Arial"/>
        </w:rPr>
        <w:fldChar w:fldCharType="separate"/>
      </w:r>
    </w:p>
    <w:p w:rsidR="003670E7" w:rsidRPr="003670E7" w:rsidRDefault="003670E7">
      <w:pPr>
        <w:widowControl w:val="0"/>
        <w:autoSpaceDE w:val="0"/>
        <w:autoSpaceDN w:val="0"/>
        <w:adjustRightInd w:val="0"/>
        <w:rPr>
          <w:rFonts w:ascii="Arial" w:hAnsi="Arial" w:cs="Arial"/>
          <w:noProof/>
        </w:rPr>
      </w:pPr>
      <w:r w:rsidRPr="003670E7">
        <w:rPr>
          <w:rFonts w:ascii="Arial" w:hAnsi="Arial" w:cs="Arial"/>
          <w:noProof/>
        </w:rPr>
        <w:t xml:space="preserve">1. Han, A., J. Glanville, L. Hansmann, and M. M. Davis. 2014. Linking T-cell receptor sequence to functional phenotype at the single-cell level. </w:t>
      </w:r>
      <w:r w:rsidRPr="003670E7">
        <w:rPr>
          <w:rFonts w:ascii="Arial" w:hAnsi="Arial" w:cs="Arial"/>
          <w:i/>
          <w:iCs/>
          <w:noProof/>
        </w:rPr>
        <w:t>Nat. Biotechnol.</w:t>
      </w:r>
      <w:r w:rsidRPr="003670E7">
        <w:rPr>
          <w:rFonts w:ascii="Arial" w:hAnsi="Arial" w:cs="Arial"/>
          <w:noProof/>
        </w:rPr>
        <w:t xml:space="preserve"> 32: 684–692.</w:t>
      </w:r>
    </w:p>
    <w:p w:rsidR="003670E7" w:rsidRPr="003670E7" w:rsidRDefault="003670E7">
      <w:pPr>
        <w:widowControl w:val="0"/>
        <w:autoSpaceDE w:val="0"/>
        <w:autoSpaceDN w:val="0"/>
        <w:adjustRightInd w:val="0"/>
        <w:rPr>
          <w:rFonts w:ascii="Arial" w:hAnsi="Arial" w:cs="Arial"/>
          <w:noProof/>
        </w:rPr>
      </w:pPr>
      <w:r w:rsidRPr="003670E7">
        <w:rPr>
          <w:rFonts w:ascii="Arial" w:hAnsi="Arial" w:cs="Arial"/>
          <w:noProof/>
        </w:rPr>
        <w:t xml:space="preserve">2. Han, A., E. W. Newell, J. Glanville, N. Fernandez-Becker, C. Khosla, Y.-H. Chien, and M. M. Davis. 2013. Dietary gluten triggers concomitant activation of CD4+ and CD8+ αβ T cells and γδ T cells in celiac disease. </w:t>
      </w:r>
      <w:r w:rsidRPr="003670E7">
        <w:rPr>
          <w:rFonts w:ascii="Arial" w:hAnsi="Arial" w:cs="Arial"/>
          <w:i/>
          <w:iCs/>
          <w:noProof/>
        </w:rPr>
        <w:t>Proc. Natl. Acad. Sci. USA</w:t>
      </w:r>
      <w:r w:rsidRPr="003670E7">
        <w:rPr>
          <w:rFonts w:ascii="Arial" w:hAnsi="Arial" w:cs="Arial"/>
          <w:noProof/>
        </w:rPr>
        <w:t xml:space="preserve"> 110: 13073–13078.</w:t>
      </w:r>
    </w:p>
    <w:p w:rsidR="003670E7" w:rsidRPr="003670E7" w:rsidRDefault="003670E7">
      <w:pPr>
        <w:widowControl w:val="0"/>
        <w:autoSpaceDE w:val="0"/>
        <w:autoSpaceDN w:val="0"/>
        <w:adjustRightInd w:val="0"/>
        <w:rPr>
          <w:rFonts w:ascii="Arial" w:hAnsi="Arial" w:cs="Arial"/>
          <w:noProof/>
        </w:rPr>
      </w:pPr>
      <w:r w:rsidRPr="003670E7">
        <w:rPr>
          <w:rFonts w:ascii="Arial" w:hAnsi="Arial" w:cs="Arial"/>
          <w:noProof/>
        </w:rPr>
        <w:t xml:space="preserve">3. Su, L. F., B. A. Kidd, A. Han, J. J. Kotzin, and M. M. Davis. 2013. Virus-specific CD4(+) memory-phenotype T cells are abundant in unexposed adults. </w:t>
      </w:r>
      <w:r w:rsidRPr="003670E7">
        <w:rPr>
          <w:rFonts w:ascii="Arial" w:hAnsi="Arial" w:cs="Arial"/>
          <w:i/>
          <w:iCs/>
          <w:noProof/>
        </w:rPr>
        <w:t>Immunity</w:t>
      </w:r>
      <w:r w:rsidRPr="003670E7">
        <w:rPr>
          <w:rFonts w:ascii="Arial" w:hAnsi="Arial" w:cs="Arial"/>
          <w:noProof/>
        </w:rPr>
        <w:t xml:space="preserve"> 38: 373–383.</w:t>
      </w:r>
    </w:p>
    <w:p w:rsidR="003670E7" w:rsidRPr="003670E7" w:rsidRDefault="003670E7">
      <w:pPr>
        <w:widowControl w:val="0"/>
        <w:autoSpaceDE w:val="0"/>
        <w:autoSpaceDN w:val="0"/>
        <w:adjustRightInd w:val="0"/>
        <w:rPr>
          <w:rFonts w:ascii="Arial" w:hAnsi="Arial" w:cs="Arial"/>
          <w:noProof/>
        </w:rPr>
      </w:pPr>
      <w:r w:rsidRPr="003670E7">
        <w:rPr>
          <w:rFonts w:ascii="Arial" w:hAnsi="Arial" w:cs="Arial"/>
          <w:noProof/>
        </w:rPr>
        <w:t xml:space="preserve">4. Glanville, J., H. Huang, A. Nau, O. Hatton, L. E. Wagar, F. Rubelt, X. Ji, A. Han, S. M. Krams, C. Pettus, N. Haas, C. S. L. Arlehamn, A. Sette, S. D. Boyd, T. J. Scriba, O. M. Martinez, and M. M. Davis. 2017. Identifying specificity groups in the T cell receptor repertoire. </w:t>
      </w:r>
      <w:r w:rsidRPr="003670E7">
        <w:rPr>
          <w:rFonts w:ascii="Arial" w:hAnsi="Arial" w:cs="Arial"/>
          <w:i/>
          <w:iCs/>
          <w:noProof/>
        </w:rPr>
        <w:t>Nature</w:t>
      </w:r>
      <w:r w:rsidRPr="003670E7">
        <w:rPr>
          <w:rFonts w:ascii="Arial" w:hAnsi="Arial" w:cs="Arial"/>
          <w:noProof/>
        </w:rPr>
        <w:t xml:space="preserve"> 547: 94–98.</w:t>
      </w:r>
    </w:p>
    <w:p w:rsidR="003670E7" w:rsidRPr="003670E7" w:rsidRDefault="003670E7">
      <w:pPr>
        <w:widowControl w:val="0"/>
        <w:autoSpaceDE w:val="0"/>
        <w:autoSpaceDN w:val="0"/>
        <w:adjustRightInd w:val="0"/>
        <w:rPr>
          <w:rFonts w:ascii="Arial" w:hAnsi="Arial" w:cs="Arial"/>
          <w:noProof/>
        </w:rPr>
      </w:pPr>
      <w:r w:rsidRPr="003670E7">
        <w:rPr>
          <w:rFonts w:ascii="Arial" w:hAnsi="Arial" w:cs="Arial"/>
          <w:noProof/>
        </w:rPr>
        <w:t xml:space="preserve">5. Muranski, P., and N. P. Restifo. 2013. Essentials of Th17 cell commitment and plasticity. </w:t>
      </w:r>
      <w:r w:rsidRPr="003670E7">
        <w:rPr>
          <w:rFonts w:ascii="Arial" w:hAnsi="Arial" w:cs="Arial"/>
          <w:i/>
          <w:iCs/>
          <w:noProof/>
        </w:rPr>
        <w:t>Blood</w:t>
      </w:r>
      <w:r w:rsidRPr="003670E7">
        <w:rPr>
          <w:rFonts w:ascii="Arial" w:hAnsi="Arial" w:cs="Arial"/>
          <w:noProof/>
        </w:rPr>
        <w:t xml:space="preserve"> 121: 2402–2414.</w:t>
      </w:r>
    </w:p>
    <w:p w:rsidR="003670E7" w:rsidRPr="003670E7" w:rsidRDefault="003670E7">
      <w:pPr>
        <w:widowControl w:val="0"/>
        <w:autoSpaceDE w:val="0"/>
        <w:autoSpaceDN w:val="0"/>
        <w:adjustRightInd w:val="0"/>
        <w:rPr>
          <w:rFonts w:ascii="Arial" w:hAnsi="Arial" w:cs="Arial"/>
          <w:noProof/>
        </w:rPr>
      </w:pPr>
      <w:r w:rsidRPr="003670E7">
        <w:rPr>
          <w:rFonts w:ascii="Arial" w:hAnsi="Arial" w:cs="Arial"/>
          <w:noProof/>
        </w:rPr>
        <w:t xml:space="preserve">6. Slifka, M. K., F. Rodriguez, and J. L. Whitton. 1999. Rapid on/off cycling of cytokine production by virus-specific CD8+ T cells. </w:t>
      </w:r>
      <w:r w:rsidRPr="003670E7">
        <w:rPr>
          <w:rFonts w:ascii="Arial" w:hAnsi="Arial" w:cs="Arial"/>
          <w:i/>
          <w:iCs/>
          <w:noProof/>
        </w:rPr>
        <w:t>Nature</w:t>
      </w:r>
      <w:r w:rsidRPr="003670E7">
        <w:rPr>
          <w:rFonts w:ascii="Arial" w:hAnsi="Arial" w:cs="Arial"/>
          <w:noProof/>
        </w:rPr>
        <w:t xml:space="preserve"> 401: 76–79.</w:t>
      </w:r>
    </w:p>
    <w:p w:rsidR="006E1598" w:rsidRDefault="000B32DA" w:rsidP="003670E7">
      <w:pPr>
        <w:widowControl w:val="0"/>
        <w:autoSpaceDE w:val="0"/>
        <w:autoSpaceDN w:val="0"/>
        <w:adjustRightInd w:val="0"/>
        <w:rPr>
          <w:rFonts w:ascii="Arial" w:hAnsi="Arial" w:cs="Arial"/>
        </w:rPr>
      </w:pPr>
      <w:r w:rsidRPr="00E72F74">
        <w:rPr>
          <w:rFonts w:ascii="Arial" w:hAnsi="Arial" w:cs="Arial"/>
        </w:rPr>
        <w:fldChar w:fldCharType="end"/>
      </w:r>
    </w:p>
    <w:p w:rsidR="006E1598" w:rsidRDefault="006E1598">
      <w:pPr>
        <w:rPr>
          <w:rFonts w:ascii="Arial" w:hAnsi="Arial" w:cs="Arial"/>
        </w:rPr>
      </w:pPr>
      <w:r>
        <w:rPr>
          <w:rFonts w:ascii="Arial" w:hAnsi="Arial" w:cs="Arial"/>
        </w:rPr>
        <w:br w:type="page"/>
      </w:r>
    </w:p>
    <w:p w:rsidR="006902ED" w:rsidRPr="003670E7" w:rsidRDefault="006E1598" w:rsidP="001A5F41">
      <w:pPr>
        <w:pStyle w:val="Heading1"/>
      </w:pPr>
      <w:r w:rsidRPr="003670E7">
        <w:lastRenderedPageBreak/>
        <w:t>Appendix</w:t>
      </w:r>
    </w:p>
    <w:p w:rsidR="006E1598" w:rsidRPr="003670E7" w:rsidRDefault="006E1598" w:rsidP="006E1598">
      <w:pPr>
        <w:widowControl w:val="0"/>
        <w:autoSpaceDE w:val="0"/>
        <w:autoSpaceDN w:val="0"/>
        <w:adjustRightInd w:val="0"/>
        <w:rPr>
          <w:rFonts w:ascii="Arial" w:hAnsi="Arial" w:cs="Arial"/>
          <w:b/>
        </w:rPr>
      </w:pPr>
    </w:p>
    <w:p w:rsidR="006E1598" w:rsidRPr="003670E7" w:rsidRDefault="006E1598" w:rsidP="006E1598">
      <w:pPr>
        <w:widowControl w:val="0"/>
        <w:autoSpaceDE w:val="0"/>
        <w:autoSpaceDN w:val="0"/>
        <w:adjustRightInd w:val="0"/>
        <w:rPr>
          <w:rFonts w:ascii="Arial" w:hAnsi="Arial" w:cs="Arial"/>
          <w:b/>
        </w:rPr>
      </w:pPr>
      <w:r w:rsidRPr="003670E7">
        <w:rPr>
          <w:rFonts w:ascii="Arial" w:hAnsi="Arial" w:cs="Arial"/>
          <w:b/>
        </w:rPr>
        <w:t xml:space="preserve">Personnel involved in </w:t>
      </w:r>
      <w:proofErr w:type="spellStart"/>
      <w:r w:rsidRPr="003670E7">
        <w:rPr>
          <w:rFonts w:ascii="Arial" w:hAnsi="Arial" w:cs="Arial"/>
          <w:b/>
        </w:rPr>
        <w:t>scTCRseq</w:t>
      </w:r>
      <w:proofErr w:type="spellEnd"/>
      <w:r w:rsidRPr="003670E7">
        <w:rPr>
          <w:rFonts w:ascii="Arial" w:hAnsi="Arial" w:cs="Arial"/>
          <w:b/>
        </w:rPr>
        <w:t xml:space="preserve"> in the Human Immune Monitoring Center</w:t>
      </w:r>
      <w:r w:rsidR="003670E7" w:rsidRPr="003670E7">
        <w:rPr>
          <w:rFonts w:ascii="Arial" w:hAnsi="Arial" w:cs="Arial"/>
          <w:b/>
        </w:rPr>
        <w:t xml:space="preserve"> (HIMC, </w:t>
      </w:r>
      <w:r w:rsidR="003670E7" w:rsidRPr="003E296A">
        <w:rPr>
          <w:rFonts w:ascii="Arial" w:hAnsi="Arial" w:cs="Arial"/>
          <w:b/>
          <w:color w:val="C00000"/>
        </w:rPr>
        <w:t>red</w:t>
      </w:r>
      <w:r w:rsidR="003670E7" w:rsidRPr="003670E7">
        <w:rPr>
          <w:rFonts w:ascii="Arial" w:hAnsi="Arial" w:cs="Arial"/>
          <w:b/>
        </w:rPr>
        <w:t>) and Mark Davis lab (</w:t>
      </w:r>
      <w:r w:rsidR="003670E7" w:rsidRPr="003670E7">
        <w:rPr>
          <w:rFonts w:ascii="Arial" w:hAnsi="Arial" w:cs="Arial"/>
          <w:b/>
          <w:color w:val="0070C0"/>
        </w:rPr>
        <w:t>blue</w:t>
      </w:r>
      <w:r w:rsidR="003670E7" w:rsidRPr="003670E7">
        <w:rPr>
          <w:rFonts w:ascii="Arial" w:hAnsi="Arial" w:cs="Arial"/>
          <w:b/>
        </w:rPr>
        <w:t>)</w:t>
      </w:r>
    </w:p>
    <w:p w:rsidR="003670E7" w:rsidRPr="002C35BC" w:rsidRDefault="003670E7" w:rsidP="003670E7">
      <w:pPr>
        <w:jc w:val="both"/>
        <w:rPr>
          <w:rFonts w:ascii="Arial" w:hAnsi="Arial" w:cs="Arial"/>
          <w:sz w:val="22"/>
          <w:szCs w:val="22"/>
        </w:rPr>
      </w:pPr>
    </w:p>
    <w:p w:rsidR="003670E7" w:rsidRPr="003E296A" w:rsidRDefault="003670E7" w:rsidP="003670E7">
      <w:pPr>
        <w:jc w:val="both"/>
        <w:rPr>
          <w:rFonts w:ascii="Arial" w:hAnsi="Arial" w:cs="Arial"/>
          <w:color w:val="C00000"/>
          <w:sz w:val="22"/>
          <w:szCs w:val="22"/>
        </w:rPr>
      </w:pPr>
      <w:proofErr w:type="spellStart"/>
      <w:r w:rsidRPr="003E296A">
        <w:rPr>
          <w:rFonts w:ascii="Arial" w:hAnsi="Arial" w:cs="Arial"/>
          <w:b/>
          <w:color w:val="C00000"/>
          <w:sz w:val="22"/>
          <w:szCs w:val="22"/>
        </w:rPr>
        <w:t>Xuhuai</w:t>
      </w:r>
      <w:proofErr w:type="spellEnd"/>
      <w:r w:rsidRPr="003E296A">
        <w:rPr>
          <w:rFonts w:ascii="Arial" w:hAnsi="Arial" w:cs="Arial"/>
          <w:b/>
          <w:color w:val="C00000"/>
          <w:sz w:val="22"/>
          <w:szCs w:val="22"/>
        </w:rPr>
        <w:t xml:space="preserve"> </w:t>
      </w:r>
      <w:proofErr w:type="spellStart"/>
      <w:r w:rsidRPr="003E296A">
        <w:rPr>
          <w:rFonts w:ascii="Arial" w:hAnsi="Arial" w:cs="Arial"/>
          <w:b/>
          <w:color w:val="C00000"/>
          <w:sz w:val="22"/>
          <w:szCs w:val="22"/>
        </w:rPr>
        <w:t>Ji</w:t>
      </w:r>
      <w:proofErr w:type="spellEnd"/>
      <w:r w:rsidRPr="003E296A">
        <w:rPr>
          <w:rFonts w:ascii="Arial" w:hAnsi="Arial" w:cs="Arial"/>
          <w:b/>
          <w:color w:val="C00000"/>
          <w:sz w:val="22"/>
          <w:szCs w:val="22"/>
        </w:rPr>
        <w:t>, PhD</w:t>
      </w:r>
      <w:r w:rsidRPr="003E296A">
        <w:rPr>
          <w:rFonts w:ascii="Arial" w:hAnsi="Arial" w:cs="Arial"/>
          <w:color w:val="C00000"/>
          <w:sz w:val="22"/>
          <w:szCs w:val="22"/>
        </w:rPr>
        <w:t xml:space="preserve">, Genomics Manager.  Dr. </w:t>
      </w:r>
      <w:proofErr w:type="spellStart"/>
      <w:r w:rsidRPr="003E296A">
        <w:rPr>
          <w:rFonts w:ascii="Arial" w:hAnsi="Arial" w:cs="Arial"/>
          <w:color w:val="C00000"/>
          <w:sz w:val="22"/>
          <w:szCs w:val="22"/>
        </w:rPr>
        <w:t>Ji</w:t>
      </w:r>
      <w:proofErr w:type="spellEnd"/>
      <w:r w:rsidRPr="003E296A">
        <w:rPr>
          <w:rFonts w:ascii="Arial" w:hAnsi="Arial" w:cs="Arial"/>
          <w:color w:val="C00000"/>
          <w:sz w:val="22"/>
          <w:szCs w:val="22"/>
        </w:rPr>
        <w:t xml:space="preserve"> performed the initial adaptation of </w:t>
      </w:r>
      <w:proofErr w:type="spellStart"/>
      <w:r w:rsidRPr="003E296A">
        <w:rPr>
          <w:rFonts w:ascii="Arial" w:hAnsi="Arial" w:cs="Arial"/>
          <w:color w:val="C00000"/>
          <w:sz w:val="22"/>
          <w:szCs w:val="22"/>
        </w:rPr>
        <w:t>scTCRseq</w:t>
      </w:r>
      <w:proofErr w:type="spellEnd"/>
      <w:r w:rsidRPr="003E296A">
        <w:rPr>
          <w:rFonts w:ascii="Arial" w:hAnsi="Arial" w:cs="Arial"/>
          <w:color w:val="C00000"/>
          <w:sz w:val="22"/>
          <w:szCs w:val="22"/>
        </w:rPr>
        <w:t xml:space="preserve"> from Mark Davis’ lab and continues to oversee the </w:t>
      </w:r>
      <w:proofErr w:type="spellStart"/>
      <w:r w:rsidRPr="003E296A">
        <w:rPr>
          <w:rFonts w:ascii="Arial" w:hAnsi="Arial" w:cs="Arial"/>
          <w:color w:val="C00000"/>
          <w:sz w:val="22"/>
          <w:szCs w:val="22"/>
        </w:rPr>
        <w:t>scTCRseq</w:t>
      </w:r>
      <w:proofErr w:type="spellEnd"/>
      <w:r w:rsidRPr="003E296A">
        <w:rPr>
          <w:rFonts w:ascii="Arial" w:hAnsi="Arial" w:cs="Arial"/>
          <w:color w:val="C00000"/>
          <w:sz w:val="22"/>
          <w:szCs w:val="22"/>
        </w:rPr>
        <w:t xml:space="preserve"> projects for the HIMC service center, including quality control of all data reported to investigators.  He also oversees all sequencing work, including maintenance and troubleshooting of the </w:t>
      </w:r>
      <w:proofErr w:type="spellStart"/>
      <w:r w:rsidRPr="003E296A">
        <w:rPr>
          <w:rFonts w:ascii="Arial" w:hAnsi="Arial" w:cs="Arial"/>
          <w:color w:val="C00000"/>
          <w:sz w:val="22"/>
          <w:szCs w:val="22"/>
        </w:rPr>
        <w:t>MiSeq</w:t>
      </w:r>
      <w:proofErr w:type="spellEnd"/>
      <w:r w:rsidRPr="003E296A">
        <w:rPr>
          <w:rFonts w:ascii="Arial" w:hAnsi="Arial" w:cs="Arial"/>
          <w:color w:val="C00000"/>
          <w:sz w:val="22"/>
          <w:szCs w:val="22"/>
        </w:rPr>
        <w:t xml:space="preserve"> instrument in the HIMC.</w:t>
      </w:r>
    </w:p>
    <w:p w:rsidR="003670E7" w:rsidRPr="003E296A" w:rsidRDefault="003670E7" w:rsidP="003670E7">
      <w:pPr>
        <w:jc w:val="both"/>
        <w:rPr>
          <w:rFonts w:ascii="Arial" w:hAnsi="Arial" w:cs="Arial"/>
          <w:color w:val="C00000"/>
          <w:sz w:val="22"/>
          <w:szCs w:val="22"/>
        </w:rPr>
      </w:pPr>
    </w:p>
    <w:p w:rsidR="003670E7" w:rsidRPr="003E296A" w:rsidRDefault="003670E7" w:rsidP="003670E7">
      <w:pPr>
        <w:jc w:val="both"/>
        <w:rPr>
          <w:rFonts w:ascii="Arial" w:hAnsi="Arial" w:cs="Arial"/>
          <w:color w:val="C00000"/>
          <w:sz w:val="22"/>
          <w:szCs w:val="22"/>
        </w:rPr>
      </w:pPr>
      <w:proofErr w:type="spellStart"/>
      <w:r w:rsidRPr="003E296A">
        <w:rPr>
          <w:rFonts w:ascii="Arial" w:hAnsi="Arial" w:cs="Arial"/>
          <w:b/>
          <w:color w:val="C00000"/>
          <w:sz w:val="22"/>
          <w:szCs w:val="22"/>
        </w:rPr>
        <w:t>Akshaya</w:t>
      </w:r>
      <w:proofErr w:type="spellEnd"/>
      <w:r w:rsidRPr="003E296A">
        <w:rPr>
          <w:rFonts w:ascii="Arial" w:hAnsi="Arial" w:cs="Arial"/>
          <w:b/>
          <w:color w:val="C00000"/>
          <w:sz w:val="22"/>
          <w:szCs w:val="22"/>
        </w:rPr>
        <w:t xml:space="preserve"> Krishnan</w:t>
      </w:r>
      <w:r w:rsidRPr="003E296A">
        <w:rPr>
          <w:rFonts w:ascii="Arial" w:hAnsi="Arial" w:cs="Arial"/>
          <w:color w:val="C00000"/>
          <w:sz w:val="22"/>
          <w:szCs w:val="22"/>
        </w:rPr>
        <w:t xml:space="preserve">, Genomics Specialist.  Ms. Krishnan is the lab automation expert, trained by Beckman Coulter on the </w:t>
      </w:r>
      <w:proofErr w:type="spellStart"/>
      <w:r w:rsidRPr="003E296A">
        <w:rPr>
          <w:rFonts w:ascii="Arial" w:hAnsi="Arial" w:cs="Arial"/>
          <w:color w:val="C00000"/>
          <w:sz w:val="22"/>
          <w:szCs w:val="22"/>
        </w:rPr>
        <w:t>NXp</w:t>
      </w:r>
      <w:proofErr w:type="spellEnd"/>
      <w:r w:rsidRPr="003E296A">
        <w:rPr>
          <w:rFonts w:ascii="Arial" w:hAnsi="Arial" w:cs="Arial"/>
          <w:color w:val="C00000"/>
          <w:sz w:val="22"/>
          <w:szCs w:val="22"/>
        </w:rPr>
        <w:t xml:space="preserve"> and </w:t>
      </w:r>
      <w:proofErr w:type="spellStart"/>
      <w:r w:rsidRPr="003E296A">
        <w:rPr>
          <w:rFonts w:ascii="Arial" w:hAnsi="Arial" w:cs="Arial"/>
          <w:color w:val="C00000"/>
          <w:sz w:val="22"/>
          <w:szCs w:val="22"/>
        </w:rPr>
        <w:t>FXp</w:t>
      </w:r>
      <w:proofErr w:type="spellEnd"/>
      <w:r w:rsidRPr="003E296A">
        <w:rPr>
          <w:rFonts w:ascii="Arial" w:hAnsi="Arial" w:cs="Arial"/>
          <w:color w:val="C00000"/>
          <w:sz w:val="22"/>
          <w:szCs w:val="22"/>
        </w:rPr>
        <w:t xml:space="preserve"> robotic liquid handlers.  She coordinates all post-sort wet lab work for </w:t>
      </w:r>
      <w:proofErr w:type="spellStart"/>
      <w:r w:rsidRPr="003E296A">
        <w:rPr>
          <w:rFonts w:ascii="Arial" w:hAnsi="Arial" w:cs="Arial"/>
          <w:color w:val="C00000"/>
          <w:sz w:val="22"/>
          <w:szCs w:val="22"/>
        </w:rPr>
        <w:t>scTCRseq</w:t>
      </w:r>
      <w:proofErr w:type="spellEnd"/>
      <w:r w:rsidRPr="003E296A">
        <w:rPr>
          <w:rFonts w:ascii="Arial" w:hAnsi="Arial" w:cs="Arial"/>
          <w:color w:val="C00000"/>
          <w:sz w:val="22"/>
          <w:szCs w:val="22"/>
        </w:rPr>
        <w:t>.</w:t>
      </w:r>
    </w:p>
    <w:p w:rsidR="003670E7" w:rsidRPr="003E296A" w:rsidRDefault="003670E7" w:rsidP="003670E7">
      <w:pPr>
        <w:jc w:val="both"/>
        <w:rPr>
          <w:rFonts w:ascii="Arial" w:hAnsi="Arial" w:cs="Arial"/>
          <w:color w:val="C00000"/>
          <w:sz w:val="22"/>
          <w:szCs w:val="22"/>
        </w:rPr>
      </w:pPr>
    </w:p>
    <w:p w:rsidR="003670E7" w:rsidRPr="003E296A" w:rsidRDefault="003670E7" w:rsidP="003670E7">
      <w:pPr>
        <w:jc w:val="both"/>
        <w:rPr>
          <w:rFonts w:ascii="Arial" w:hAnsi="Arial" w:cs="Arial"/>
          <w:color w:val="C00000"/>
          <w:sz w:val="22"/>
          <w:szCs w:val="22"/>
        </w:rPr>
      </w:pPr>
      <w:r w:rsidRPr="003670E7">
        <w:rPr>
          <w:rFonts w:ascii="Arial" w:hAnsi="Arial" w:cs="Arial"/>
          <w:b/>
          <w:color w:val="FF0000"/>
          <w:sz w:val="28"/>
          <w:szCs w:val="28"/>
          <w:vertAlign w:val="superscript"/>
        </w:rPr>
        <w:t>1</w:t>
      </w:r>
      <w:r w:rsidRPr="003E296A">
        <w:rPr>
          <w:rFonts w:ascii="Arial" w:hAnsi="Arial" w:cs="Arial"/>
          <w:b/>
          <w:color w:val="C00000"/>
          <w:sz w:val="22"/>
          <w:szCs w:val="22"/>
        </w:rPr>
        <w:t xml:space="preserve">Kavita </w:t>
      </w:r>
      <w:proofErr w:type="spellStart"/>
      <w:r w:rsidRPr="003E296A">
        <w:rPr>
          <w:rFonts w:ascii="Arial" w:hAnsi="Arial" w:cs="Arial"/>
          <w:b/>
          <w:color w:val="C00000"/>
          <w:sz w:val="22"/>
          <w:szCs w:val="22"/>
        </w:rPr>
        <w:t>Mathi</w:t>
      </w:r>
      <w:proofErr w:type="spellEnd"/>
      <w:r w:rsidRPr="003E296A">
        <w:rPr>
          <w:rFonts w:ascii="Arial" w:hAnsi="Arial" w:cs="Arial"/>
          <w:b/>
          <w:color w:val="C00000"/>
          <w:sz w:val="22"/>
          <w:szCs w:val="22"/>
        </w:rPr>
        <w:t>, MD</w:t>
      </w:r>
      <w:r w:rsidRPr="003E296A">
        <w:rPr>
          <w:rFonts w:ascii="Arial" w:hAnsi="Arial" w:cs="Arial"/>
          <w:color w:val="C00000"/>
          <w:sz w:val="22"/>
          <w:szCs w:val="22"/>
        </w:rPr>
        <w:t xml:space="preserve">, Research Scientist.  Dr. </w:t>
      </w:r>
      <w:proofErr w:type="spellStart"/>
      <w:r w:rsidRPr="003E296A">
        <w:rPr>
          <w:rFonts w:ascii="Arial" w:hAnsi="Arial" w:cs="Arial"/>
          <w:color w:val="C00000"/>
          <w:sz w:val="22"/>
          <w:szCs w:val="22"/>
        </w:rPr>
        <w:t>Mathi</w:t>
      </w:r>
      <w:proofErr w:type="spellEnd"/>
      <w:r w:rsidRPr="003E296A">
        <w:rPr>
          <w:rFonts w:ascii="Arial" w:hAnsi="Arial" w:cs="Arial"/>
          <w:color w:val="C00000"/>
          <w:sz w:val="22"/>
          <w:szCs w:val="22"/>
        </w:rPr>
        <w:t xml:space="preserve"> was originally trained in flow </w:t>
      </w:r>
      <w:proofErr w:type="spellStart"/>
      <w:r w:rsidRPr="003E296A">
        <w:rPr>
          <w:rFonts w:ascii="Arial" w:hAnsi="Arial" w:cs="Arial"/>
          <w:color w:val="C00000"/>
          <w:sz w:val="22"/>
          <w:szCs w:val="22"/>
        </w:rPr>
        <w:t>cytometry</w:t>
      </w:r>
      <w:proofErr w:type="spellEnd"/>
      <w:r w:rsidRPr="003E296A">
        <w:rPr>
          <w:rFonts w:ascii="Arial" w:hAnsi="Arial" w:cs="Arial"/>
          <w:color w:val="C00000"/>
          <w:sz w:val="22"/>
          <w:szCs w:val="22"/>
        </w:rPr>
        <w:t xml:space="preserve">, in industry and at Stanford.  She performs single-cell sorts for the </w:t>
      </w:r>
      <w:proofErr w:type="spellStart"/>
      <w:r w:rsidRPr="003E296A">
        <w:rPr>
          <w:rFonts w:ascii="Arial" w:hAnsi="Arial" w:cs="Arial"/>
          <w:color w:val="C00000"/>
          <w:sz w:val="22"/>
          <w:szCs w:val="22"/>
        </w:rPr>
        <w:t>scTCRseq</w:t>
      </w:r>
      <w:proofErr w:type="spellEnd"/>
      <w:r w:rsidRPr="003E296A">
        <w:rPr>
          <w:rFonts w:ascii="Arial" w:hAnsi="Arial" w:cs="Arial"/>
          <w:color w:val="C00000"/>
          <w:sz w:val="22"/>
          <w:szCs w:val="22"/>
        </w:rPr>
        <w:t xml:space="preserve"> assay, and has also learned the automation and PCR procedures associated with it.</w:t>
      </w:r>
    </w:p>
    <w:p w:rsidR="003670E7" w:rsidRPr="003E296A" w:rsidRDefault="003670E7" w:rsidP="003670E7">
      <w:pPr>
        <w:jc w:val="both"/>
        <w:rPr>
          <w:rFonts w:ascii="Arial" w:hAnsi="Arial" w:cs="Arial"/>
          <w:color w:val="C00000"/>
          <w:sz w:val="22"/>
          <w:szCs w:val="22"/>
        </w:rPr>
      </w:pPr>
    </w:p>
    <w:p w:rsidR="003670E7" w:rsidRPr="003E296A" w:rsidRDefault="003670E7" w:rsidP="003670E7">
      <w:pPr>
        <w:jc w:val="both"/>
        <w:rPr>
          <w:rFonts w:ascii="Arial" w:hAnsi="Arial" w:cs="Arial"/>
          <w:color w:val="C00000"/>
          <w:sz w:val="22"/>
          <w:szCs w:val="22"/>
        </w:rPr>
      </w:pPr>
      <w:proofErr w:type="spellStart"/>
      <w:r w:rsidRPr="003E296A">
        <w:rPr>
          <w:rFonts w:ascii="Arial" w:hAnsi="Arial" w:cs="Arial"/>
          <w:b/>
          <w:color w:val="C00000"/>
          <w:sz w:val="22"/>
          <w:szCs w:val="22"/>
        </w:rPr>
        <w:t>Abhilasha</w:t>
      </w:r>
      <w:proofErr w:type="spellEnd"/>
      <w:r w:rsidRPr="003E296A">
        <w:rPr>
          <w:rFonts w:ascii="Arial" w:hAnsi="Arial" w:cs="Arial"/>
          <w:b/>
          <w:color w:val="C00000"/>
          <w:sz w:val="22"/>
          <w:szCs w:val="22"/>
        </w:rPr>
        <w:t xml:space="preserve"> </w:t>
      </w:r>
      <w:proofErr w:type="spellStart"/>
      <w:r w:rsidRPr="003E296A">
        <w:rPr>
          <w:rFonts w:ascii="Arial" w:hAnsi="Arial" w:cs="Arial"/>
          <w:b/>
          <w:color w:val="C00000"/>
          <w:sz w:val="22"/>
          <w:szCs w:val="22"/>
        </w:rPr>
        <w:t>Cheruki</w:t>
      </w:r>
      <w:proofErr w:type="spellEnd"/>
      <w:r w:rsidRPr="003E296A">
        <w:rPr>
          <w:rFonts w:ascii="Arial" w:hAnsi="Arial" w:cs="Arial"/>
          <w:b/>
          <w:color w:val="C00000"/>
          <w:sz w:val="22"/>
          <w:szCs w:val="22"/>
        </w:rPr>
        <w:t>, MS</w:t>
      </w:r>
      <w:r w:rsidRPr="003E296A">
        <w:rPr>
          <w:rFonts w:ascii="Arial" w:hAnsi="Arial" w:cs="Arial"/>
          <w:color w:val="C00000"/>
          <w:sz w:val="22"/>
          <w:szCs w:val="22"/>
        </w:rPr>
        <w:t xml:space="preserve">, Genomics Specialist.  Ms. </w:t>
      </w:r>
      <w:proofErr w:type="spellStart"/>
      <w:r w:rsidRPr="003E296A">
        <w:rPr>
          <w:rFonts w:ascii="Arial" w:hAnsi="Arial" w:cs="Arial"/>
          <w:color w:val="C00000"/>
          <w:sz w:val="22"/>
          <w:szCs w:val="22"/>
        </w:rPr>
        <w:t>Cheruki</w:t>
      </w:r>
      <w:proofErr w:type="spellEnd"/>
      <w:r w:rsidRPr="003E296A">
        <w:rPr>
          <w:rFonts w:ascii="Arial" w:hAnsi="Arial" w:cs="Arial"/>
          <w:color w:val="C00000"/>
          <w:sz w:val="22"/>
          <w:szCs w:val="22"/>
        </w:rPr>
        <w:t xml:space="preserve"> assists with performance of the automation workflow for </w:t>
      </w:r>
      <w:proofErr w:type="spellStart"/>
      <w:r w:rsidRPr="003E296A">
        <w:rPr>
          <w:rFonts w:ascii="Arial" w:hAnsi="Arial" w:cs="Arial"/>
          <w:color w:val="C00000"/>
          <w:sz w:val="22"/>
          <w:szCs w:val="22"/>
        </w:rPr>
        <w:t>scTCRseq</w:t>
      </w:r>
      <w:proofErr w:type="spellEnd"/>
      <w:r w:rsidRPr="003E296A">
        <w:rPr>
          <w:rFonts w:ascii="Arial" w:hAnsi="Arial" w:cs="Arial"/>
          <w:color w:val="C00000"/>
          <w:sz w:val="22"/>
          <w:szCs w:val="22"/>
        </w:rPr>
        <w:t xml:space="preserve">, and coordinates data organization and analysis for </w:t>
      </w:r>
      <w:proofErr w:type="spellStart"/>
      <w:r w:rsidRPr="003E296A">
        <w:rPr>
          <w:rFonts w:ascii="Arial" w:hAnsi="Arial" w:cs="Arial"/>
          <w:color w:val="C00000"/>
          <w:sz w:val="22"/>
          <w:szCs w:val="22"/>
        </w:rPr>
        <w:t>scTCRseq</w:t>
      </w:r>
      <w:proofErr w:type="spellEnd"/>
      <w:r w:rsidRPr="003E296A">
        <w:rPr>
          <w:rFonts w:ascii="Arial" w:hAnsi="Arial" w:cs="Arial"/>
          <w:color w:val="C00000"/>
          <w:sz w:val="22"/>
          <w:szCs w:val="22"/>
        </w:rPr>
        <w:t xml:space="preserve"> projects within the Gates Center for Human Systems Immunology at Stanford.</w:t>
      </w:r>
    </w:p>
    <w:p w:rsidR="003670E7" w:rsidRPr="003E296A" w:rsidRDefault="003670E7" w:rsidP="003670E7">
      <w:pPr>
        <w:jc w:val="both"/>
        <w:rPr>
          <w:rFonts w:ascii="Arial" w:hAnsi="Arial" w:cs="Arial"/>
          <w:color w:val="C00000"/>
          <w:sz w:val="22"/>
          <w:szCs w:val="22"/>
        </w:rPr>
      </w:pPr>
    </w:p>
    <w:p w:rsidR="003670E7" w:rsidRPr="003E296A" w:rsidRDefault="003670E7" w:rsidP="003670E7">
      <w:pPr>
        <w:jc w:val="both"/>
        <w:rPr>
          <w:rFonts w:ascii="Arial" w:hAnsi="Arial" w:cs="Arial"/>
          <w:color w:val="C00000"/>
          <w:sz w:val="22"/>
          <w:szCs w:val="22"/>
        </w:rPr>
      </w:pPr>
      <w:proofErr w:type="spellStart"/>
      <w:r w:rsidRPr="003E296A">
        <w:rPr>
          <w:rFonts w:ascii="Arial" w:hAnsi="Arial" w:cs="Arial"/>
          <w:b/>
          <w:color w:val="C00000"/>
          <w:sz w:val="22"/>
          <w:szCs w:val="22"/>
        </w:rPr>
        <w:t>Neha</w:t>
      </w:r>
      <w:proofErr w:type="spellEnd"/>
      <w:r w:rsidRPr="003E296A">
        <w:rPr>
          <w:rFonts w:ascii="Arial" w:hAnsi="Arial" w:cs="Arial"/>
          <w:b/>
          <w:color w:val="C00000"/>
          <w:sz w:val="22"/>
          <w:szCs w:val="22"/>
        </w:rPr>
        <w:t xml:space="preserve"> Gupta, BS</w:t>
      </w:r>
      <w:r w:rsidRPr="003E296A">
        <w:rPr>
          <w:rFonts w:ascii="Arial" w:hAnsi="Arial" w:cs="Arial"/>
          <w:color w:val="C00000"/>
          <w:sz w:val="22"/>
          <w:szCs w:val="22"/>
        </w:rPr>
        <w:t xml:space="preserve">, Genomics Specialist.  Ms. Gupta assists with performance of the automation workflow, library prep, and sequencing for </w:t>
      </w:r>
      <w:proofErr w:type="spellStart"/>
      <w:r w:rsidRPr="003E296A">
        <w:rPr>
          <w:rFonts w:ascii="Arial" w:hAnsi="Arial" w:cs="Arial"/>
          <w:color w:val="C00000"/>
          <w:sz w:val="22"/>
          <w:szCs w:val="22"/>
        </w:rPr>
        <w:t>scTCRseq</w:t>
      </w:r>
      <w:proofErr w:type="spellEnd"/>
      <w:r w:rsidRPr="003E296A">
        <w:rPr>
          <w:rFonts w:ascii="Arial" w:hAnsi="Arial" w:cs="Arial"/>
          <w:color w:val="C00000"/>
          <w:sz w:val="22"/>
          <w:szCs w:val="22"/>
        </w:rPr>
        <w:t xml:space="preserve"> projects in the Gates Center and HIMC service center.</w:t>
      </w:r>
    </w:p>
    <w:p w:rsidR="003670E7" w:rsidRPr="003E296A" w:rsidRDefault="003670E7" w:rsidP="003670E7">
      <w:pPr>
        <w:jc w:val="both"/>
        <w:rPr>
          <w:rFonts w:ascii="Arial" w:hAnsi="Arial" w:cs="Arial"/>
          <w:color w:val="C00000"/>
          <w:sz w:val="22"/>
          <w:szCs w:val="22"/>
        </w:rPr>
      </w:pPr>
    </w:p>
    <w:p w:rsidR="003670E7" w:rsidRPr="003E296A" w:rsidRDefault="003670E7" w:rsidP="003670E7">
      <w:pPr>
        <w:jc w:val="both"/>
        <w:rPr>
          <w:rFonts w:ascii="Arial" w:hAnsi="Arial" w:cs="Arial"/>
          <w:color w:val="C00000"/>
          <w:sz w:val="22"/>
          <w:szCs w:val="22"/>
        </w:rPr>
      </w:pPr>
      <w:r w:rsidRPr="003670E7">
        <w:rPr>
          <w:rFonts w:ascii="Arial" w:hAnsi="Arial" w:cs="Arial"/>
          <w:b/>
          <w:color w:val="FF0000"/>
          <w:sz w:val="28"/>
          <w:szCs w:val="28"/>
          <w:vertAlign w:val="superscript"/>
        </w:rPr>
        <w:t>1</w:t>
      </w:r>
      <w:r w:rsidRPr="003E296A">
        <w:rPr>
          <w:rFonts w:ascii="Arial" w:hAnsi="Arial" w:cs="Arial"/>
          <w:b/>
          <w:color w:val="C00000"/>
          <w:sz w:val="22"/>
          <w:szCs w:val="22"/>
        </w:rPr>
        <w:t>Weiqi Wang, PhD</w:t>
      </w:r>
      <w:r w:rsidRPr="003E296A">
        <w:rPr>
          <w:rFonts w:ascii="Arial" w:hAnsi="Arial" w:cs="Arial"/>
          <w:color w:val="C00000"/>
          <w:sz w:val="22"/>
          <w:szCs w:val="22"/>
        </w:rPr>
        <w:t xml:space="preserve">, Bioinformatics Specialist.  Dr. Wang maintains the informatics pipeline for analysis of </w:t>
      </w:r>
      <w:proofErr w:type="spellStart"/>
      <w:r w:rsidRPr="003E296A">
        <w:rPr>
          <w:rFonts w:ascii="Arial" w:hAnsi="Arial" w:cs="Arial"/>
          <w:color w:val="C00000"/>
          <w:sz w:val="22"/>
          <w:szCs w:val="22"/>
        </w:rPr>
        <w:t>scTCRseq</w:t>
      </w:r>
      <w:proofErr w:type="spellEnd"/>
      <w:r w:rsidRPr="003E296A">
        <w:rPr>
          <w:rFonts w:ascii="Arial" w:hAnsi="Arial" w:cs="Arial"/>
          <w:color w:val="C00000"/>
          <w:sz w:val="22"/>
          <w:szCs w:val="22"/>
        </w:rPr>
        <w:t xml:space="preserve"> assays, creating preliminary reports for sequencing runs for all projects.  He updates the sequence library with new target gene sequences as needed, and performs troubleshooting for any data issues in the </w:t>
      </w:r>
      <w:proofErr w:type="spellStart"/>
      <w:r w:rsidRPr="003E296A">
        <w:rPr>
          <w:rFonts w:ascii="Arial" w:hAnsi="Arial" w:cs="Arial"/>
          <w:color w:val="C00000"/>
          <w:sz w:val="22"/>
          <w:szCs w:val="22"/>
        </w:rPr>
        <w:t>scTCRseq</w:t>
      </w:r>
      <w:proofErr w:type="spellEnd"/>
      <w:r w:rsidRPr="003E296A">
        <w:rPr>
          <w:rFonts w:ascii="Arial" w:hAnsi="Arial" w:cs="Arial"/>
          <w:color w:val="C00000"/>
          <w:sz w:val="22"/>
          <w:szCs w:val="22"/>
        </w:rPr>
        <w:t xml:space="preserve"> assay.</w:t>
      </w:r>
    </w:p>
    <w:p w:rsidR="003670E7" w:rsidRPr="003E296A" w:rsidRDefault="003670E7" w:rsidP="003670E7">
      <w:pPr>
        <w:jc w:val="both"/>
        <w:rPr>
          <w:rFonts w:ascii="Arial" w:hAnsi="Arial" w:cs="Arial"/>
          <w:color w:val="C00000"/>
          <w:sz w:val="22"/>
          <w:szCs w:val="22"/>
        </w:rPr>
      </w:pPr>
    </w:p>
    <w:p w:rsidR="003670E7" w:rsidRPr="003E296A" w:rsidRDefault="003670E7" w:rsidP="003670E7">
      <w:pPr>
        <w:jc w:val="both"/>
        <w:rPr>
          <w:rFonts w:ascii="Arial" w:hAnsi="Arial" w:cs="Arial"/>
          <w:color w:val="C00000"/>
          <w:sz w:val="22"/>
          <w:szCs w:val="22"/>
        </w:rPr>
      </w:pPr>
      <w:r w:rsidRPr="003E296A">
        <w:rPr>
          <w:rFonts w:ascii="Arial" w:hAnsi="Arial" w:cs="Arial"/>
          <w:b/>
          <w:color w:val="C00000"/>
          <w:sz w:val="22"/>
          <w:szCs w:val="22"/>
        </w:rPr>
        <w:t xml:space="preserve">Peter </w:t>
      </w:r>
      <w:proofErr w:type="spellStart"/>
      <w:r w:rsidRPr="003E296A">
        <w:rPr>
          <w:rFonts w:ascii="Arial" w:hAnsi="Arial" w:cs="Arial"/>
          <w:b/>
          <w:color w:val="C00000"/>
          <w:sz w:val="22"/>
          <w:szCs w:val="22"/>
        </w:rPr>
        <w:t>Acs</w:t>
      </w:r>
      <w:proofErr w:type="spellEnd"/>
      <w:r w:rsidRPr="003E296A">
        <w:rPr>
          <w:rFonts w:ascii="Arial" w:hAnsi="Arial" w:cs="Arial"/>
          <w:b/>
          <w:color w:val="C00000"/>
          <w:sz w:val="22"/>
          <w:szCs w:val="22"/>
        </w:rPr>
        <w:t>, BS</w:t>
      </w:r>
      <w:r w:rsidRPr="003E296A">
        <w:rPr>
          <w:rFonts w:ascii="Arial" w:hAnsi="Arial" w:cs="Arial"/>
          <w:color w:val="C00000"/>
          <w:sz w:val="22"/>
          <w:szCs w:val="22"/>
        </w:rPr>
        <w:t xml:space="preserve">, Bioinformatics Specialist.  Mr. </w:t>
      </w:r>
      <w:proofErr w:type="spellStart"/>
      <w:r w:rsidRPr="003E296A">
        <w:rPr>
          <w:rFonts w:ascii="Arial" w:hAnsi="Arial" w:cs="Arial"/>
          <w:color w:val="C00000"/>
          <w:sz w:val="22"/>
          <w:szCs w:val="22"/>
        </w:rPr>
        <w:t>Acs</w:t>
      </w:r>
      <w:proofErr w:type="spellEnd"/>
      <w:r w:rsidRPr="003E296A">
        <w:rPr>
          <w:rFonts w:ascii="Arial" w:hAnsi="Arial" w:cs="Arial"/>
          <w:color w:val="C00000"/>
          <w:sz w:val="22"/>
          <w:szCs w:val="22"/>
        </w:rPr>
        <w:t xml:space="preserve"> also runs the </w:t>
      </w:r>
      <w:proofErr w:type="spellStart"/>
      <w:r w:rsidRPr="003E296A">
        <w:rPr>
          <w:rFonts w:ascii="Arial" w:hAnsi="Arial" w:cs="Arial"/>
          <w:color w:val="C00000"/>
          <w:sz w:val="22"/>
          <w:szCs w:val="22"/>
        </w:rPr>
        <w:t>scTCRseq</w:t>
      </w:r>
      <w:proofErr w:type="spellEnd"/>
      <w:r w:rsidRPr="003E296A">
        <w:rPr>
          <w:rFonts w:ascii="Arial" w:hAnsi="Arial" w:cs="Arial"/>
          <w:color w:val="C00000"/>
          <w:sz w:val="22"/>
          <w:szCs w:val="22"/>
        </w:rPr>
        <w:t xml:space="preserve"> informatics pipeline, serving as a backup for Dr. Wang.  In addition, he has created a web app for organization and quality assessment of </w:t>
      </w:r>
      <w:proofErr w:type="spellStart"/>
      <w:r w:rsidRPr="003E296A">
        <w:rPr>
          <w:rFonts w:ascii="Arial" w:hAnsi="Arial" w:cs="Arial"/>
          <w:color w:val="C00000"/>
          <w:sz w:val="22"/>
          <w:szCs w:val="22"/>
        </w:rPr>
        <w:t>scTCRseq</w:t>
      </w:r>
      <w:proofErr w:type="spellEnd"/>
      <w:r w:rsidRPr="003E296A">
        <w:rPr>
          <w:rFonts w:ascii="Arial" w:hAnsi="Arial" w:cs="Arial"/>
          <w:color w:val="C00000"/>
          <w:sz w:val="22"/>
          <w:szCs w:val="22"/>
        </w:rPr>
        <w:t xml:space="preserve"> data, currently used in the Gates Center and soon to be deployed for HIMC service center projects as well.</w:t>
      </w:r>
    </w:p>
    <w:p w:rsidR="003670E7" w:rsidRPr="003E296A" w:rsidRDefault="003670E7" w:rsidP="003670E7">
      <w:pPr>
        <w:jc w:val="both"/>
        <w:rPr>
          <w:rFonts w:ascii="Arial" w:hAnsi="Arial" w:cs="Arial"/>
          <w:color w:val="C00000"/>
          <w:sz w:val="22"/>
          <w:szCs w:val="22"/>
        </w:rPr>
      </w:pPr>
    </w:p>
    <w:p w:rsidR="003670E7" w:rsidRPr="003670E7" w:rsidRDefault="003670E7" w:rsidP="003670E7">
      <w:pPr>
        <w:jc w:val="both"/>
        <w:rPr>
          <w:rFonts w:ascii="Arial" w:hAnsi="Arial" w:cs="Arial"/>
          <w:color w:val="0070C0"/>
          <w:sz w:val="22"/>
          <w:szCs w:val="22"/>
        </w:rPr>
      </w:pPr>
      <w:r w:rsidRPr="003670E7">
        <w:rPr>
          <w:rFonts w:ascii="Arial" w:hAnsi="Arial" w:cs="Arial"/>
          <w:b/>
          <w:color w:val="0070C0"/>
          <w:sz w:val="22"/>
          <w:szCs w:val="22"/>
        </w:rPr>
        <w:t>Jake Glanville, PhD</w:t>
      </w:r>
      <w:r w:rsidRPr="003670E7">
        <w:rPr>
          <w:rFonts w:ascii="Arial" w:hAnsi="Arial" w:cs="Arial"/>
          <w:color w:val="0070C0"/>
          <w:sz w:val="22"/>
          <w:szCs w:val="22"/>
        </w:rPr>
        <w:t xml:space="preserve">, coded the original analysis pipeline for </w:t>
      </w:r>
      <w:proofErr w:type="spellStart"/>
      <w:r w:rsidRPr="003670E7">
        <w:rPr>
          <w:rFonts w:ascii="Arial" w:hAnsi="Arial" w:cs="Arial"/>
          <w:color w:val="0070C0"/>
          <w:sz w:val="22"/>
          <w:szCs w:val="22"/>
        </w:rPr>
        <w:t>scTCRseq</w:t>
      </w:r>
      <w:proofErr w:type="spellEnd"/>
      <w:r w:rsidRPr="003670E7">
        <w:rPr>
          <w:rFonts w:ascii="Arial" w:hAnsi="Arial" w:cs="Arial"/>
          <w:color w:val="0070C0"/>
          <w:sz w:val="22"/>
          <w:szCs w:val="22"/>
        </w:rPr>
        <w:t xml:space="preserve"> </w:t>
      </w:r>
      <w:r w:rsidR="000B32DA" w:rsidRPr="003670E7">
        <w:rPr>
          <w:rFonts w:ascii="Arial" w:hAnsi="Arial" w:cs="Arial"/>
          <w:color w:val="0070C0"/>
          <w:sz w:val="22"/>
          <w:szCs w:val="22"/>
        </w:rPr>
        <w:fldChar w:fldCharType="begin"/>
      </w:r>
      <w:r w:rsidRPr="003670E7">
        <w:rPr>
          <w:rFonts w:ascii="Arial" w:hAnsi="Arial" w:cs="Arial"/>
          <w:color w:val="0070C0"/>
          <w:sz w:val="22"/>
          <w:szCs w:val="22"/>
        </w:rPr>
        <w:instrText>ADDIN F1000_CSL_CITATION&lt;~#@#~&gt;[{"DOI":"10.1038/nbt.2938","First":false,"Last":false,"PMCID":"PMC4337815","PMID":"24952902","abstract":"Although each T lymphocyte expresses a T-cell receptor (TCR) that recognizes cognate antigen and controls T-cell activation, different T cells bearing the same TCR can be functionally distinct. Each TCR is a heterodimer, and both α- and β-chains contribute to determining TCR antigen specificity. Here we present a methodology enabling integration of information about TCR specificity with information about T cell function. This method involves sequencing of TCRα and TCRβ genes, and amplifying functional genes characteristic of different T cell subsets, in single T cells. Because this approach retains information about individual TCRα-TCRβ pairs, TCRs of interest can be expressed and used in functional studies, for antigen discovery, or in therapeutic applications. We apply this approach to study the clonal ancestry and differentiation of T lymphocytes infiltrating a human colorectal carcinoma. ","author":[{"family":"Han","given":"Arnold"},{"family":"Glanville","given":"Jacob"},{"family":"Hansmann","given":"Leo"},{"family":"Davis","given":"Mark M"}],"authorYearDisplayFormat":false,"citation-label":"17053","container-title":"Nature Biotechnology","container-title-short":"Nat. Biotechnol.","id":"17053","invisible":false,"issue":"7","issued":{"date-parts":[["2014","7"]]},"journalAbbreviation":"Nat. Biotechnol.","page":"684-692","suppress-author":false,"title":"Linking T-cell receptor sequence to functional phenotype at the single-cell level.","type":"article-journal","volume":"32"}]</w:instrText>
      </w:r>
      <w:r w:rsidR="000B32DA" w:rsidRPr="003670E7">
        <w:rPr>
          <w:rFonts w:ascii="Arial" w:hAnsi="Arial" w:cs="Arial"/>
          <w:color w:val="0070C0"/>
          <w:sz w:val="22"/>
          <w:szCs w:val="22"/>
        </w:rPr>
        <w:fldChar w:fldCharType="separate"/>
      </w:r>
      <w:r w:rsidRPr="003670E7">
        <w:rPr>
          <w:rFonts w:ascii="Arial" w:hAnsi="Arial" w:cs="Arial"/>
          <w:noProof/>
          <w:color w:val="0070C0"/>
          <w:sz w:val="22"/>
          <w:szCs w:val="22"/>
        </w:rPr>
        <w:t>(1)</w:t>
      </w:r>
      <w:r w:rsidR="000B32DA" w:rsidRPr="003670E7">
        <w:rPr>
          <w:rFonts w:ascii="Arial" w:hAnsi="Arial" w:cs="Arial"/>
          <w:color w:val="0070C0"/>
          <w:sz w:val="22"/>
          <w:szCs w:val="22"/>
        </w:rPr>
        <w:fldChar w:fldCharType="end"/>
      </w:r>
      <w:r w:rsidRPr="003670E7">
        <w:rPr>
          <w:rFonts w:ascii="Arial" w:hAnsi="Arial" w:cs="Arial"/>
          <w:color w:val="0070C0"/>
          <w:sz w:val="22"/>
          <w:szCs w:val="22"/>
        </w:rPr>
        <w:t xml:space="preserve"> and is available for consultation as needed.  He has also recently published</w:t>
      </w:r>
      <w:r>
        <w:rPr>
          <w:rFonts w:ascii="Arial" w:hAnsi="Arial" w:cs="Arial"/>
          <w:color w:val="0070C0"/>
          <w:sz w:val="22"/>
          <w:szCs w:val="22"/>
        </w:rPr>
        <w:t xml:space="preserve"> the GLYPH algorithm for identi</w:t>
      </w:r>
      <w:r w:rsidRPr="003670E7">
        <w:rPr>
          <w:rFonts w:ascii="Arial" w:hAnsi="Arial" w:cs="Arial"/>
          <w:color w:val="0070C0"/>
          <w:sz w:val="22"/>
          <w:szCs w:val="22"/>
        </w:rPr>
        <w:t xml:space="preserve">fying specificity groups in the TCR repertoire, using data from </w:t>
      </w:r>
      <w:proofErr w:type="spellStart"/>
      <w:r w:rsidRPr="003670E7">
        <w:rPr>
          <w:rFonts w:ascii="Arial" w:hAnsi="Arial" w:cs="Arial"/>
          <w:color w:val="0070C0"/>
          <w:sz w:val="22"/>
          <w:szCs w:val="22"/>
        </w:rPr>
        <w:t>scTCRseq</w:t>
      </w:r>
      <w:proofErr w:type="spellEnd"/>
      <w:r>
        <w:rPr>
          <w:rFonts w:ascii="Arial" w:hAnsi="Arial" w:cs="Arial"/>
          <w:color w:val="0070C0"/>
          <w:sz w:val="22"/>
          <w:szCs w:val="22"/>
        </w:rPr>
        <w:t xml:space="preserve"> </w:t>
      </w:r>
      <w:r w:rsidR="000B32DA">
        <w:rPr>
          <w:rFonts w:ascii="Arial" w:hAnsi="Arial" w:cs="Arial"/>
          <w:color w:val="0070C0"/>
          <w:sz w:val="22"/>
          <w:szCs w:val="22"/>
        </w:rPr>
        <w:fldChar w:fldCharType="begin"/>
      </w:r>
      <w:r>
        <w:rPr>
          <w:rFonts w:ascii="Arial" w:hAnsi="Arial" w:cs="Arial"/>
          <w:color w:val="0070C0"/>
          <w:sz w:val="22"/>
          <w:szCs w:val="22"/>
        </w:rPr>
        <w:instrText>ADDIN F1000_CSL_CITATION&lt;~#@#~&gt;[{"DOI":"10.1038/nature22976","First":false,"Last":false,"PMCID":"PMC5794212","PMID":"28636589","abstract":"T cell receptor (TCR) sequences are very diverse, with many more possible sequence combinations than T cells in any one individual. Here we define the minimal requirements for TCR antigen specificity, through an analysis of TCR sequences using a panel of peptide and major histocompatibility complex (pMHC)-tetramer-sorted cells and structural data. From this analysis we developed an algorithm that we term GLIPH (grouping of lymphocyte interactions by paratope hotspots) to cluster TCRs with a high probability of sharing specificity owing to both conserved motifs and global similarity of complementarity-determining region 3 (CDR3) sequences. We show that GLIPH can reliably group TCRs of common specificity from different donors, and that conserved CDR3 motifs help to define the TCR clusters that are often contact points with the antigenic peptides. As an independent validation, we analysed 5,711 TCRβ chain sequences from reactive CD4 T cells from 22 individuals with latent Mycobacterium tuberculosis infection. We found 141 TCR specificity groups, including 16 distinct groups containing TCRs from multiple individuals. These TCR groups typically shared HLA alleles, allowing prediction of the likely HLA restriction, and a large number of M. tuberculosis T cell epitopes enabled us to identify pMHC ligands for all five of the groups tested. Mutagenesis and de novo TCR design confirmed that the GLIPH-identified motifs were critical and sufficient for shared-antigen recognition. Thus the GLIPH algorithm can analyse large numbers of TCR sequences and define TCR specificity groups shared by TCRs and individuals, which should greatly accelerate the analysis of T cell responses and expedite the identification of specific ligands.","author":[{"family":"Glanville","given":"Jacob"},{"family":"Huang","given":"Huang"},{"family":"Nau","given":"Allison"},{"family":"Hatton","given":"Olivia"},{"family":"Wagar","given":"Lisa E"},{"family":"Rubelt","given":"Florian"},{"family":"Ji","given":"Xuhuai"},{"family":"Han","given":"Arnold"},{"family":"Krams","given":"Sheri M"},{"family":"Pettus","given":"Christina"},{"family":"Haas","given":"Nikhil"},{"family":"Arlehamn","given":"Cecilia S Lindestam"},{"family":"Sette","given":"Alessandro"},{"family":"Boyd","given":"Scott D"},{"family":"Scriba","given":"Thomas J"},{"family":"Martinez","given":"Olivia M"},{"family":"Davis","given":"Mark M"}],"authorYearDisplayFormat":false,"citation-label":"3846755","container-title":"Nature","container-title-short":"Nature","id":"3846755","invisible":false,"issue":"7661","issued":{"date-parts":[["2017","7","6"]]},"journalAbbreviation":"Nature","page":"94-98","suppress-author":false,"title":"Identifying specificity groups in the T cell receptor repertoire.","type":"article-journal","volume":"547"}]</w:instrText>
      </w:r>
      <w:r w:rsidR="000B32DA">
        <w:rPr>
          <w:rFonts w:ascii="Arial" w:hAnsi="Arial" w:cs="Arial"/>
          <w:color w:val="0070C0"/>
          <w:sz w:val="22"/>
          <w:szCs w:val="22"/>
        </w:rPr>
        <w:fldChar w:fldCharType="separate"/>
      </w:r>
      <w:r w:rsidRPr="003670E7">
        <w:rPr>
          <w:rFonts w:ascii="Arial" w:hAnsi="Arial" w:cs="Arial"/>
          <w:noProof/>
          <w:color w:val="0070C0"/>
          <w:sz w:val="22"/>
          <w:szCs w:val="22"/>
        </w:rPr>
        <w:t>(4)</w:t>
      </w:r>
      <w:r w:rsidR="000B32DA">
        <w:rPr>
          <w:rFonts w:ascii="Arial" w:hAnsi="Arial" w:cs="Arial"/>
          <w:color w:val="0070C0"/>
          <w:sz w:val="22"/>
          <w:szCs w:val="22"/>
        </w:rPr>
        <w:fldChar w:fldCharType="end"/>
      </w:r>
      <w:r w:rsidRPr="003670E7">
        <w:rPr>
          <w:rFonts w:ascii="Arial" w:hAnsi="Arial" w:cs="Arial"/>
          <w:color w:val="0070C0"/>
          <w:sz w:val="22"/>
          <w:szCs w:val="22"/>
        </w:rPr>
        <w:t xml:space="preserve">.  He can potentially apply GLYPH to CIMAC data sets, if desired, since there is currently no experience with this algorithm in the </w:t>
      </w:r>
      <w:proofErr w:type="spellStart"/>
      <w:r w:rsidRPr="003670E7">
        <w:rPr>
          <w:rFonts w:ascii="Arial" w:hAnsi="Arial" w:cs="Arial"/>
          <w:color w:val="0070C0"/>
          <w:sz w:val="22"/>
          <w:szCs w:val="22"/>
        </w:rPr>
        <w:t>Maecker</w:t>
      </w:r>
      <w:proofErr w:type="spellEnd"/>
      <w:r w:rsidRPr="003670E7">
        <w:rPr>
          <w:rFonts w:ascii="Arial" w:hAnsi="Arial" w:cs="Arial"/>
          <w:color w:val="0070C0"/>
          <w:sz w:val="22"/>
          <w:szCs w:val="22"/>
        </w:rPr>
        <w:t xml:space="preserve"> lab.</w:t>
      </w:r>
    </w:p>
    <w:p w:rsidR="003670E7" w:rsidRPr="003670E7" w:rsidRDefault="003670E7" w:rsidP="003670E7">
      <w:pPr>
        <w:jc w:val="both"/>
        <w:rPr>
          <w:rFonts w:ascii="Arial" w:hAnsi="Arial" w:cs="Arial"/>
          <w:color w:val="0070C0"/>
          <w:sz w:val="22"/>
          <w:szCs w:val="22"/>
        </w:rPr>
      </w:pPr>
    </w:p>
    <w:p w:rsidR="003670E7" w:rsidRPr="003670E7" w:rsidRDefault="003670E7" w:rsidP="003670E7">
      <w:pPr>
        <w:jc w:val="both"/>
        <w:rPr>
          <w:rFonts w:ascii="Arial" w:hAnsi="Arial" w:cs="Arial"/>
          <w:color w:val="0070C0"/>
          <w:sz w:val="22"/>
          <w:szCs w:val="22"/>
        </w:rPr>
      </w:pPr>
      <w:r w:rsidRPr="003670E7">
        <w:rPr>
          <w:rFonts w:ascii="Arial" w:hAnsi="Arial" w:cs="Arial"/>
          <w:b/>
          <w:color w:val="0070C0"/>
          <w:sz w:val="22"/>
          <w:szCs w:val="22"/>
        </w:rPr>
        <w:t xml:space="preserve">Julie </w:t>
      </w:r>
      <w:proofErr w:type="spellStart"/>
      <w:r w:rsidRPr="003670E7">
        <w:rPr>
          <w:rFonts w:ascii="Arial" w:hAnsi="Arial" w:cs="Arial"/>
          <w:b/>
          <w:color w:val="0070C0"/>
          <w:sz w:val="22"/>
          <w:szCs w:val="22"/>
        </w:rPr>
        <w:t>Wilhelmy</w:t>
      </w:r>
      <w:proofErr w:type="spellEnd"/>
      <w:r w:rsidRPr="003670E7">
        <w:rPr>
          <w:rFonts w:ascii="Arial" w:hAnsi="Arial" w:cs="Arial"/>
          <w:b/>
          <w:color w:val="0070C0"/>
          <w:sz w:val="22"/>
          <w:szCs w:val="22"/>
        </w:rPr>
        <w:t>, PhD</w:t>
      </w:r>
      <w:r w:rsidRPr="003670E7">
        <w:rPr>
          <w:rFonts w:ascii="Arial" w:hAnsi="Arial" w:cs="Arial"/>
          <w:color w:val="0070C0"/>
          <w:sz w:val="22"/>
          <w:szCs w:val="22"/>
        </w:rPr>
        <w:t xml:space="preserve">, is a senior researcher in Mark Davis’ lab who has automated the </w:t>
      </w:r>
      <w:proofErr w:type="spellStart"/>
      <w:r w:rsidRPr="003670E7">
        <w:rPr>
          <w:rFonts w:ascii="Arial" w:hAnsi="Arial" w:cs="Arial"/>
          <w:color w:val="0070C0"/>
          <w:sz w:val="22"/>
          <w:szCs w:val="22"/>
        </w:rPr>
        <w:t>scTCRseq</w:t>
      </w:r>
      <w:proofErr w:type="spellEnd"/>
      <w:r w:rsidRPr="003670E7">
        <w:rPr>
          <w:rFonts w:ascii="Arial" w:hAnsi="Arial" w:cs="Arial"/>
          <w:color w:val="0070C0"/>
          <w:sz w:val="22"/>
          <w:szCs w:val="22"/>
        </w:rPr>
        <w:t xml:space="preserve"> assay for the Davis lab.  We hold regular meetings with her (</w:t>
      </w:r>
      <w:r>
        <w:rPr>
          <w:rFonts w:ascii="Arial" w:hAnsi="Arial" w:cs="Arial"/>
          <w:color w:val="0070C0"/>
          <w:sz w:val="22"/>
          <w:szCs w:val="22"/>
        </w:rPr>
        <w:t xml:space="preserve">about every </w:t>
      </w:r>
      <w:r w:rsidRPr="003670E7">
        <w:rPr>
          <w:rFonts w:ascii="Arial" w:hAnsi="Arial" w:cs="Arial"/>
          <w:color w:val="0070C0"/>
          <w:sz w:val="22"/>
          <w:szCs w:val="22"/>
        </w:rPr>
        <w:t>2 months) to discuss our parallel work in automating the assay, new developments and protocols, etc.  She is readily available for consultation as needed.</w:t>
      </w:r>
    </w:p>
    <w:p w:rsidR="003670E7" w:rsidRPr="003670E7" w:rsidRDefault="003670E7" w:rsidP="003670E7">
      <w:pPr>
        <w:jc w:val="both"/>
        <w:rPr>
          <w:rFonts w:ascii="Arial" w:hAnsi="Arial" w:cs="Arial"/>
          <w:color w:val="0070C0"/>
          <w:sz w:val="22"/>
          <w:szCs w:val="22"/>
        </w:rPr>
      </w:pPr>
    </w:p>
    <w:p w:rsidR="006E1598" w:rsidRPr="003670E7" w:rsidRDefault="003670E7" w:rsidP="006E1598">
      <w:pPr>
        <w:widowControl w:val="0"/>
        <w:autoSpaceDE w:val="0"/>
        <w:autoSpaceDN w:val="0"/>
        <w:adjustRightInd w:val="0"/>
        <w:rPr>
          <w:rFonts w:ascii="Arial" w:hAnsi="Arial" w:cs="Arial"/>
          <w:b/>
        </w:rPr>
      </w:pPr>
      <w:r w:rsidRPr="003670E7">
        <w:rPr>
          <w:rFonts w:ascii="Arial" w:hAnsi="Arial" w:cs="Arial"/>
          <w:b/>
          <w:sz w:val="28"/>
          <w:szCs w:val="28"/>
          <w:vertAlign w:val="superscript"/>
        </w:rPr>
        <w:t>1</w:t>
      </w:r>
      <w:r w:rsidRPr="003670E7">
        <w:rPr>
          <w:rFonts w:ascii="Arial" w:hAnsi="Arial" w:cs="Arial"/>
          <w:b/>
        </w:rPr>
        <w:t>Personnel supported on the Stanford CIMAC grant</w:t>
      </w:r>
    </w:p>
    <w:sectPr w:rsidR="006E1598" w:rsidRPr="003670E7" w:rsidSect="00736A5E">
      <w:type w:val="continuous"/>
      <w:pgSz w:w="12240" w:h="15840"/>
      <w:pgMar w:top="2016" w:right="1440" w:bottom="1296"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798D" w:rsidRDefault="0010798D" w:rsidP="005C5E55">
      <w:r>
        <w:separator/>
      </w:r>
    </w:p>
  </w:endnote>
  <w:endnote w:type="continuationSeparator" w:id="0">
    <w:p w:rsidR="0010798D" w:rsidRDefault="0010798D" w:rsidP="005C5E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altName w:val="Calibri"/>
    <w:panose1 w:val="020F0502020204030204"/>
    <w:charset w:val="00"/>
    <w:family w:val="swiss"/>
    <w:pitch w:val="variable"/>
    <w:sig w:usb0="E00002FF" w:usb1="4000ACFF" w:usb2="00000001" w:usb3="00000000" w:csb0="0000019F" w:csb1="00000000"/>
  </w:font>
  <w:font w:name="ArialMT">
    <w:altName w:val="Arial"/>
    <w:charset w:val="00"/>
    <w:family w:val="auto"/>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4E"/>
    <w:family w:val="auto"/>
    <w:pitch w:val="variable"/>
    <w:sig w:usb0="E00002FF" w:usb1="7AC7FFFF" w:usb2="00000012" w:usb3="00000000" w:csb0="0002000D" w:csb1="00000000"/>
  </w:font>
  <w:font w:name="Lucida Grande">
    <w:charset w:val="00"/>
    <w:family w:val="swiss"/>
    <w:pitch w:val="variable"/>
    <w:sig w:usb0="E1000AEF" w:usb1="5000A1FF" w:usb2="00000000" w:usb3="00000000" w:csb0="000001B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ageNumber"/>
      </w:rPr>
      <w:id w:val="81274323"/>
      <w:docPartObj>
        <w:docPartGallery w:val="Page Numbers (Bottom of Page)"/>
        <w:docPartUnique/>
      </w:docPartObj>
    </w:sdtPr>
    <w:sdtContent>
      <w:p w:rsidR="00745666" w:rsidRDefault="000B32DA" w:rsidP="00AD7038">
        <w:pPr>
          <w:pStyle w:val="Footer"/>
          <w:framePr w:wrap="none" w:vAnchor="text" w:hAnchor="margin" w:xAlign="center" w:y="1"/>
          <w:rPr>
            <w:rStyle w:val="PageNumber"/>
          </w:rPr>
        </w:pPr>
        <w:r>
          <w:rPr>
            <w:rStyle w:val="PageNumber"/>
          </w:rPr>
          <w:fldChar w:fldCharType="begin"/>
        </w:r>
        <w:r w:rsidR="00745666">
          <w:rPr>
            <w:rStyle w:val="PageNumber"/>
          </w:rPr>
          <w:instrText xml:space="preserve"> PAGE </w:instrText>
        </w:r>
        <w:r>
          <w:rPr>
            <w:rStyle w:val="PageNumber"/>
          </w:rPr>
          <w:fldChar w:fldCharType="end"/>
        </w:r>
      </w:p>
    </w:sdtContent>
  </w:sdt>
  <w:p w:rsidR="00745666" w:rsidRDefault="0074566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ageNumber"/>
      </w:rPr>
      <w:id w:val="-976908975"/>
      <w:docPartObj>
        <w:docPartGallery w:val="Page Numbers (Bottom of Page)"/>
        <w:docPartUnique/>
      </w:docPartObj>
    </w:sdtPr>
    <w:sdtContent>
      <w:p w:rsidR="00745666" w:rsidRDefault="000B32DA" w:rsidP="00AD7038">
        <w:pPr>
          <w:pStyle w:val="Footer"/>
          <w:framePr w:wrap="none" w:vAnchor="text" w:hAnchor="margin" w:xAlign="center" w:y="1"/>
          <w:rPr>
            <w:rStyle w:val="PageNumber"/>
          </w:rPr>
        </w:pPr>
        <w:r>
          <w:rPr>
            <w:rStyle w:val="PageNumber"/>
          </w:rPr>
          <w:fldChar w:fldCharType="begin"/>
        </w:r>
        <w:r w:rsidR="00745666">
          <w:rPr>
            <w:rStyle w:val="PageNumber"/>
          </w:rPr>
          <w:instrText xml:space="preserve"> PAGE </w:instrText>
        </w:r>
        <w:r>
          <w:rPr>
            <w:rStyle w:val="PageNumber"/>
          </w:rPr>
          <w:fldChar w:fldCharType="separate"/>
        </w:r>
        <w:r w:rsidR="000850F6">
          <w:rPr>
            <w:rStyle w:val="PageNumber"/>
            <w:noProof/>
          </w:rPr>
          <w:t>1</w:t>
        </w:r>
        <w:r>
          <w:rPr>
            <w:rStyle w:val="PageNumber"/>
          </w:rPr>
          <w:fldChar w:fldCharType="end"/>
        </w:r>
      </w:p>
    </w:sdtContent>
  </w:sdt>
  <w:p w:rsidR="00745666" w:rsidRDefault="00745666" w:rsidP="00745666">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798D" w:rsidRDefault="0010798D" w:rsidP="005C5E55">
      <w:r>
        <w:separator/>
      </w:r>
    </w:p>
  </w:footnote>
  <w:footnote w:type="continuationSeparator" w:id="0">
    <w:p w:rsidR="0010798D" w:rsidRDefault="0010798D" w:rsidP="005C5E5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5666" w:rsidRDefault="00745666">
    <w:pPr>
      <w:pStyle w:val="Header"/>
      <w:rPr>
        <w:b/>
        <w:color w:val="C00000"/>
        <w:sz w:val="28"/>
        <w:szCs w:val="28"/>
      </w:rPr>
    </w:pPr>
    <w:r w:rsidRPr="00745666">
      <w:rPr>
        <w:b/>
        <w:color w:val="C00000"/>
        <w:sz w:val="28"/>
        <w:szCs w:val="28"/>
      </w:rPr>
      <w:t xml:space="preserve">Analytic Validation:  </w:t>
    </w:r>
    <w:r w:rsidR="003E349F">
      <w:rPr>
        <w:b/>
        <w:color w:val="C00000"/>
        <w:sz w:val="28"/>
        <w:szCs w:val="28"/>
      </w:rPr>
      <w:t xml:space="preserve">single-cell </w:t>
    </w:r>
    <w:proofErr w:type="spellStart"/>
    <w:r w:rsidR="003E349F">
      <w:rPr>
        <w:b/>
        <w:color w:val="C00000"/>
        <w:sz w:val="28"/>
        <w:szCs w:val="28"/>
      </w:rPr>
      <w:t>TCRseq</w:t>
    </w:r>
    <w:proofErr w:type="spellEnd"/>
    <w:r w:rsidRPr="00745666">
      <w:rPr>
        <w:b/>
        <w:color w:val="C00000"/>
        <w:sz w:val="28"/>
        <w:szCs w:val="28"/>
      </w:rPr>
      <w:tab/>
    </w:r>
    <w:r w:rsidRPr="00745666">
      <w:rPr>
        <w:b/>
        <w:color w:val="C00000"/>
        <w:sz w:val="28"/>
        <w:szCs w:val="28"/>
      </w:rPr>
      <w:tab/>
      <w:t>Stanford University CIMAC</w:t>
    </w:r>
  </w:p>
  <w:p w:rsidR="00745666" w:rsidRPr="00745666" w:rsidRDefault="003E349F" w:rsidP="00745666">
    <w:pPr>
      <w:pStyle w:val="Footer"/>
      <w:rPr>
        <w:b/>
      </w:rPr>
    </w:pPr>
    <w:r>
      <w:rPr>
        <w:b/>
      </w:rPr>
      <w:t>Version:  1.</w:t>
    </w:r>
    <w:r w:rsidR="00BE46C5">
      <w:rPr>
        <w:b/>
      </w:rPr>
      <w:t>2</w:t>
    </w:r>
    <w:r w:rsidR="00FA0F42">
      <w:rPr>
        <w:b/>
      </w:rPr>
      <w:tab/>
    </w:r>
    <w:r w:rsidR="00FA0F42">
      <w:rPr>
        <w:b/>
      </w:rPr>
      <w:tab/>
      <w:t xml:space="preserve">Date:  </w:t>
    </w:r>
    <w:r w:rsidR="00BE46C5">
      <w:rPr>
        <w:b/>
      </w:rPr>
      <w:t>October 5</w:t>
    </w:r>
    <w:r w:rsidR="00745666" w:rsidRPr="00745666">
      <w:rPr>
        <w:b/>
      </w:rPr>
      <w:t>, 2018</w:t>
    </w:r>
  </w:p>
  <w:p w:rsidR="00745666" w:rsidRPr="00745666" w:rsidRDefault="00745666">
    <w:pPr>
      <w:pStyle w:val="Header"/>
      <w:rPr>
        <w:b/>
        <w:color w:val="C00000"/>
        <w:sz w:val="28"/>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BB6431"/>
    <w:multiLevelType w:val="hybridMultilevel"/>
    <w:tmpl w:val="394EF2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6A1759C"/>
    <w:multiLevelType w:val="hybridMultilevel"/>
    <w:tmpl w:val="2A404ABE"/>
    <w:lvl w:ilvl="0" w:tplc="6F0205B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12363CB"/>
    <w:multiLevelType w:val="hybridMultilevel"/>
    <w:tmpl w:val="99D2800E"/>
    <w:lvl w:ilvl="0" w:tplc="78EEB61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0F52E1"/>
    <w:rsid w:val="000320D9"/>
    <w:rsid w:val="00033483"/>
    <w:rsid w:val="00042359"/>
    <w:rsid w:val="00045006"/>
    <w:rsid w:val="0005529A"/>
    <w:rsid w:val="00057510"/>
    <w:rsid w:val="00061B75"/>
    <w:rsid w:val="00061DBB"/>
    <w:rsid w:val="00066146"/>
    <w:rsid w:val="00066270"/>
    <w:rsid w:val="000850F6"/>
    <w:rsid w:val="00092577"/>
    <w:rsid w:val="000B07B5"/>
    <w:rsid w:val="000B32DA"/>
    <w:rsid w:val="000C0093"/>
    <w:rsid w:val="000D19F0"/>
    <w:rsid w:val="000E0FCD"/>
    <w:rsid w:val="000F03F1"/>
    <w:rsid w:val="000F3733"/>
    <w:rsid w:val="000F52E1"/>
    <w:rsid w:val="0010798D"/>
    <w:rsid w:val="00121F92"/>
    <w:rsid w:val="00125839"/>
    <w:rsid w:val="00130327"/>
    <w:rsid w:val="00134A3D"/>
    <w:rsid w:val="00155A5F"/>
    <w:rsid w:val="00160A27"/>
    <w:rsid w:val="00162CD7"/>
    <w:rsid w:val="0016524F"/>
    <w:rsid w:val="00167B1F"/>
    <w:rsid w:val="00175FB5"/>
    <w:rsid w:val="00180CCD"/>
    <w:rsid w:val="00191260"/>
    <w:rsid w:val="001A5F41"/>
    <w:rsid w:val="001D3A6E"/>
    <w:rsid w:val="001E39F0"/>
    <w:rsid w:val="00221295"/>
    <w:rsid w:val="00233B53"/>
    <w:rsid w:val="0023749A"/>
    <w:rsid w:val="00260116"/>
    <w:rsid w:val="00264C75"/>
    <w:rsid w:val="00267F00"/>
    <w:rsid w:val="00282790"/>
    <w:rsid w:val="00294C79"/>
    <w:rsid w:val="002A610A"/>
    <w:rsid w:val="002B1D23"/>
    <w:rsid w:val="002D00B2"/>
    <w:rsid w:val="002F497C"/>
    <w:rsid w:val="0030145D"/>
    <w:rsid w:val="00303892"/>
    <w:rsid w:val="00305F07"/>
    <w:rsid w:val="00313599"/>
    <w:rsid w:val="00324741"/>
    <w:rsid w:val="00337E93"/>
    <w:rsid w:val="0035304C"/>
    <w:rsid w:val="003670E7"/>
    <w:rsid w:val="00373A9E"/>
    <w:rsid w:val="00391E4E"/>
    <w:rsid w:val="00395E8E"/>
    <w:rsid w:val="003A45BC"/>
    <w:rsid w:val="003B2F17"/>
    <w:rsid w:val="003B52F8"/>
    <w:rsid w:val="003C102E"/>
    <w:rsid w:val="003E296A"/>
    <w:rsid w:val="003E349F"/>
    <w:rsid w:val="003E5482"/>
    <w:rsid w:val="003E74CB"/>
    <w:rsid w:val="004021B3"/>
    <w:rsid w:val="00407627"/>
    <w:rsid w:val="0041563F"/>
    <w:rsid w:val="0042398F"/>
    <w:rsid w:val="004342AA"/>
    <w:rsid w:val="004A6155"/>
    <w:rsid w:val="004A680E"/>
    <w:rsid w:val="004A6B12"/>
    <w:rsid w:val="004B1F5D"/>
    <w:rsid w:val="004B45FA"/>
    <w:rsid w:val="004C4C71"/>
    <w:rsid w:val="004E2DB9"/>
    <w:rsid w:val="005140F5"/>
    <w:rsid w:val="0052326E"/>
    <w:rsid w:val="005254D0"/>
    <w:rsid w:val="00530461"/>
    <w:rsid w:val="00543622"/>
    <w:rsid w:val="00554C26"/>
    <w:rsid w:val="00570EFA"/>
    <w:rsid w:val="00597E15"/>
    <w:rsid w:val="005A3E8C"/>
    <w:rsid w:val="005A6045"/>
    <w:rsid w:val="005C5E55"/>
    <w:rsid w:val="005D12BB"/>
    <w:rsid w:val="005F18A6"/>
    <w:rsid w:val="00601471"/>
    <w:rsid w:val="006144CF"/>
    <w:rsid w:val="006443EC"/>
    <w:rsid w:val="00646DF2"/>
    <w:rsid w:val="00661335"/>
    <w:rsid w:val="0068481F"/>
    <w:rsid w:val="0068488C"/>
    <w:rsid w:val="006902ED"/>
    <w:rsid w:val="0069284B"/>
    <w:rsid w:val="006A2EAE"/>
    <w:rsid w:val="006C1E0A"/>
    <w:rsid w:val="006D1564"/>
    <w:rsid w:val="006E1598"/>
    <w:rsid w:val="00703778"/>
    <w:rsid w:val="0070378C"/>
    <w:rsid w:val="007050E5"/>
    <w:rsid w:val="00713D9D"/>
    <w:rsid w:val="00722C00"/>
    <w:rsid w:val="00725EBD"/>
    <w:rsid w:val="0073522F"/>
    <w:rsid w:val="00736A5E"/>
    <w:rsid w:val="00740914"/>
    <w:rsid w:val="00745666"/>
    <w:rsid w:val="007503C2"/>
    <w:rsid w:val="00762550"/>
    <w:rsid w:val="007707AD"/>
    <w:rsid w:val="00797612"/>
    <w:rsid w:val="007A45A5"/>
    <w:rsid w:val="007B56C6"/>
    <w:rsid w:val="007E0DB5"/>
    <w:rsid w:val="007F2779"/>
    <w:rsid w:val="007F4E76"/>
    <w:rsid w:val="00800C6A"/>
    <w:rsid w:val="008012B7"/>
    <w:rsid w:val="008024C1"/>
    <w:rsid w:val="00823D77"/>
    <w:rsid w:val="00832187"/>
    <w:rsid w:val="008416F8"/>
    <w:rsid w:val="008442F6"/>
    <w:rsid w:val="00847315"/>
    <w:rsid w:val="0086220C"/>
    <w:rsid w:val="008820DA"/>
    <w:rsid w:val="00891948"/>
    <w:rsid w:val="008C0335"/>
    <w:rsid w:val="008C1948"/>
    <w:rsid w:val="008F2E9F"/>
    <w:rsid w:val="008F3ACC"/>
    <w:rsid w:val="009022E5"/>
    <w:rsid w:val="00912596"/>
    <w:rsid w:val="00913ED6"/>
    <w:rsid w:val="009142ED"/>
    <w:rsid w:val="00915407"/>
    <w:rsid w:val="009170DB"/>
    <w:rsid w:val="00925992"/>
    <w:rsid w:val="00926E77"/>
    <w:rsid w:val="0094608F"/>
    <w:rsid w:val="00970D4F"/>
    <w:rsid w:val="00974F04"/>
    <w:rsid w:val="00986534"/>
    <w:rsid w:val="00993340"/>
    <w:rsid w:val="009A3A72"/>
    <w:rsid w:val="009B5EB3"/>
    <w:rsid w:val="009C102F"/>
    <w:rsid w:val="009D7C08"/>
    <w:rsid w:val="009E504F"/>
    <w:rsid w:val="009E6D6B"/>
    <w:rsid w:val="00A22F16"/>
    <w:rsid w:val="00A6751B"/>
    <w:rsid w:val="00A753C1"/>
    <w:rsid w:val="00AB62EB"/>
    <w:rsid w:val="00AD4FF9"/>
    <w:rsid w:val="00AF1654"/>
    <w:rsid w:val="00B12379"/>
    <w:rsid w:val="00B17F3C"/>
    <w:rsid w:val="00B419C7"/>
    <w:rsid w:val="00B4329C"/>
    <w:rsid w:val="00B5505C"/>
    <w:rsid w:val="00B7410D"/>
    <w:rsid w:val="00BA1A46"/>
    <w:rsid w:val="00BA699D"/>
    <w:rsid w:val="00BB568F"/>
    <w:rsid w:val="00BC1AA6"/>
    <w:rsid w:val="00BE46C5"/>
    <w:rsid w:val="00BF7BC5"/>
    <w:rsid w:val="00C139BF"/>
    <w:rsid w:val="00C34B5C"/>
    <w:rsid w:val="00C65C7A"/>
    <w:rsid w:val="00C901DD"/>
    <w:rsid w:val="00CB2470"/>
    <w:rsid w:val="00CB2B9E"/>
    <w:rsid w:val="00CC62EA"/>
    <w:rsid w:val="00CD57A3"/>
    <w:rsid w:val="00D00C4A"/>
    <w:rsid w:val="00D21C59"/>
    <w:rsid w:val="00D44191"/>
    <w:rsid w:val="00D45BB7"/>
    <w:rsid w:val="00D70F9D"/>
    <w:rsid w:val="00D822E0"/>
    <w:rsid w:val="00D84038"/>
    <w:rsid w:val="00D9200B"/>
    <w:rsid w:val="00DB4615"/>
    <w:rsid w:val="00DB78B0"/>
    <w:rsid w:val="00DD6C2C"/>
    <w:rsid w:val="00DD7939"/>
    <w:rsid w:val="00E06B8E"/>
    <w:rsid w:val="00E16E5F"/>
    <w:rsid w:val="00E173A4"/>
    <w:rsid w:val="00E207B1"/>
    <w:rsid w:val="00E34806"/>
    <w:rsid w:val="00E37BB3"/>
    <w:rsid w:val="00E45D78"/>
    <w:rsid w:val="00E568C4"/>
    <w:rsid w:val="00E619B3"/>
    <w:rsid w:val="00E72F74"/>
    <w:rsid w:val="00E909AC"/>
    <w:rsid w:val="00E90DF8"/>
    <w:rsid w:val="00E91C78"/>
    <w:rsid w:val="00E975C5"/>
    <w:rsid w:val="00EB4A2B"/>
    <w:rsid w:val="00F02523"/>
    <w:rsid w:val="00F23AE6"/>
    <w:rsid w:val="00F35EF3"/>
    <w:rsid w:val="00F75F69"/>
    <w:rsid w:val="00F7744C"/>
    <w:rsid w:val="00F82694"/>
    <w:rsid w:val="00F91B7B"/>
    <w:rsid w:val="00F91CFD"/>
    <w:rsid w:val="00F92075"/>
    <w:rsid w:val="00FA0F42"/>
    <w:rsid w:val="00FA3564"/>
    <w:rsid w:val="00FA6AAE"/>
    <w:rsid w:val="00FD037D"/>
    <w:rsid w:val="00FD2DB5"/>
    <w:rsid w:val="00FF7B2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32DA"/>
  </w:style>
  <w:style w:type="paragraph" w:styleId="Heading1">
    <w:name w:val="heading 1"/>
    <w:basedOn w:val="Normal"/>
    <w:next w:val="Normal"/>
    <w:link w:val="Heading1Char"/>
    <w:uiPriority w:val="9"/>
    <w:qFormat/>
    <w:rsid w:val="00736A5E"/>
    <w:pPr>
      <w:outlineLvl w:val="0"/>
    </w:pPr>
    <w:rPr>
      <w:rFonts w:ascii="ArialMT" w:eastAsia="Times New Roman" w:hAnsi="ArialMT" w:cs="ArialMT"/>
      <w:b/>
      <w:color w:val="000000"/>
    </w:rPr>
  </w:style>
  <w:style w:type="paragraph" w:styleId="Heading2">
    <w:name w:val="heading 2"/>
    <w:basedOn w:val="Normal"/>
    <w:next w:val="Normal"/>
    <w:link w:val="Heading2Char"/>
    <w:uiPriority w:val="9"/>
    <w:unhideWhenUsed/>
    <w:qFormat/>
    <w:rsid w:val="00736A5E"/>
    <w:pPr>
      <w:outlineLvl w:val="1"/>
    </w:pPr>
    <w:rPr>
      <w:rFonts w:ascii="Arial" w:hAnsi="Arial" w:cs="Arial"/>
      <w: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F52E1"/>
    <w:rPr>
      <w:i/>
      <w:iCs/>
    </w:rPr>
  </w:style>
  <w:style w:type="table" w:styleId="TableGrid">
    <w:name w:val="Table Grid"/>
    <w:basedOn w:val="TableNormal"/>
    <w:uiPriority w:val="39"/>
    <w:rsid w:val="00CC62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02523"/>
    <w:pPr>
      <w:ind w:left="720"/>
      <w:contextualSpacing/>
    </w:pPr>
  </w:style>
  <w:style w:type="paragraph" w:customStyle="1" w:styleId="Body1">
    <w:name w:val="Body 1"/>
    <w:rsid w:val="00970D4F"/>
    <w:pPr>
      <w:outlineLvl w:val="0"/>
    </w:pPr>
    <w:rPr>
      <w:rFonts w:ascii="Helvetica" w:eastAsia="ヒラギノ角ゴ Pro W3" w:hAnsi="Helvetica" w:cs="Times New Roman"/>
      <w:color w:val="000000"/>
      <w:szCs w:val="20"/>
    </w:rPr>
  </w:style>
  <w:style w:type="character" w:styleId="Hyperlink">
    <w:name w:val="Hyperlink"/>
    <w:basedOn w:val="DefaultParagraphFont"/>
    <w:uiPriority w:val="99"/>
    <w:unhideWhenUsed/>
    <w:rsid w:val="00FF7B22"/>
    <w:rPr>
      <w:color w:val="0563C1" w:themeColor="hyperlink"/>
      <w:u w:val="single"/>
    </w:rPr>
  </w:style>
  <w:style w:type="paragraph" w:styleId="Header">
    <w:name w:val="header"/>
    <w:basedOn w:val="Normal"/>
    <w:link w:val="HeaderChar"/>
    <w:uiPriority w:val="99"/>
    <w:unhideWhenUsed/>
    <w:rsid w:val="005C5E55"/>
    <w:pPr>
      <w:tabs>
        <w:tab w:val="center" w:pos="4680"/>
        <w:tab w:val="right" w:pos="9360"/>
      </w:tabs>
    </w:pPr>
  </w:style>
  <w:style w:type="character" w:customStyle="1" w:styleId="HeaderChar">
    <w:name w:val="Header Char"/>
    <w:basedOn w:val="DefaultParagraphFont"/>
    <w:link w:val="Header"/>
    <w:uiPriority w:val="99"/>
    <w:rsid w:val="005C5E55"/>
  </w:style>
  <w:style w:type="paragraph" w:styleId="Footer">
    <w:name w:val="footer"/>
    <w:basedOn w:val="Normal"/>
    <w:link w:val="FooterChar"/>
    <w:uiPriority w:val="99"/>
    <w:unhideWhenUsed/>
    <w:rsid w:val="005C5E55"/>
    <w:pPr>
      <w:tabs>
        <w:tab w:val="center" w:pos="4680"/>
        <w:tab w:val="right" w:pos="9360"/>
      </w:tabs>
    </w:pPr>
  </w:style>
  <w:style w:type="character" w:customStyle="1" w:styleId="FooterChar">
    <w:name w:val="Footer Char"/>
    <w:basedOn w:val="DefaultParagraphFont"/>
    <w:link w:val="Footer"/>
    <w:uiPriority w:val="99"/>
    <w:rsid w:val="005C5E55"/>
  </w:style>
  <w:style w:type="paragraph" w:styleId="BalloonText">
    <w:name w:val="Balloon Text"/>
    <w:basedOn w:val="Normal"/>
    <w:link w:val="BalloonTextChar"/>
    <w:uiPriority w:val="99"/>
    <w:semiHidden/>
    <w:unhideWhenUsed/>
    <w:rsid w:val="007A45A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A45A5"/>
    <w:rPr>
      <w:rFonts w:ascii="Lucida Grande" w:hAnsi="Lucida Grande" w:cs="Lucida Grande"/>
      <w:sz w:val="18"/>
      <w:szCs w:val="18"/>
    </w:rPr>
  </w:style>
  <w:style w:type="character" w:styleId="PageNumber">
    <w:name w:val="page number"/>
    <w:basedOn w:val="DefaultParagraphFont"/>
    <w:uiPriority w:val="99"/>
    <w:semiHidden/>
    <w:unhideWhenUsed/>
    <w:rsid w:val="00745666"/>
  </w:style>
  <w:style w:type="character" w:customStyle="1" w:styleId="f1000-at-ignore">
    <w:name w:val="f1000-at-ignore"/>
    <w:basedOn w:val="DefaultParagraphFont"/>
    <w:rsid w:val="00926E77"/>
  </w:style>
  <w:style w:type="character" w:customStyle="1" w:styleId="UnresolvedMention">
    <w:name w:val="Unresolved Mention"/>
    <w:basedOn w:val="DefaultParagraphFont"/>
    <w:uiPriority w:val="99"/>
    <w:semiHidden/>
    <w:unhideWhenUsed/>
    <w:rsid w:val="007B56C6"/>
    <w:rPr>
      <w:color w:val="808080"/>
      <w:shd w:val="clear" w:color="auto" w:fill="E6E6E6"/>
    </w:rPr>
  </w:style>
  <w:style w:type="character" w:customStyle="1" w:styleId="Heading1Char">
    <w:name w:val="Heading 1 Char"/>
    <w:basedOn w:val="DefaultParagraphFont"/>
    <w:link w:val="Heading1"/>
    <w:uiPriority w:val="9"/>
    <w:rsid w:val="00736A5E"/>
    <w:rPr>
      <w:rFonts w:ascii="ArialMT" w:eastAsia="Times New Roman" w:hAnsi="ArialMT" w:cs="ArialMT"/>
      <w:b/>
      <w:color w:val="000000"/>
    </w:rPr>
  </w:style>
  <w:style w:type="character" w:customStyle="1" w:styleId="Heading2Char">
    <w:name w:val="Heading 2 Char"/>
    <w:basedOn w:val="DefaultParagraphFont"/>
    <w:link w:val="Heading2"/>
    <w:uiPriority w:val="9"/>
    <w:rsid w:val="00736A5E"/>
    <w:rPr>
      <w:rFonts w:ascii="Arial" w:hAnsi="Arial" w:cs="Arial"/>
      <w:b/>
      <w:sz w:val="22"/>
      <w:szCs w:val="22"/>
    </w:rPr>
  </w:style>
  <w:style w:type="paragraph" w:styleId="NoSpacing">
    <w:name w:val="No Spacing"/>
    <w:uiPriority w:val="1"/>
    <w:qFormat/>
    <w:rsid w:val="00736A5E"/>
  </w:style>
</w:styles>
</file>

<file path=word/webSettings.xml><?xml version="1.0" encoding="utf-8"?>
<w:webSettings xmlns:r="http://schemas.openxmlformats.org/officeDocument/2006/relationships" xmlns:w="http://schemas.openxmlformats.org/wordprocessingml/2006/main">
  <w:divs>
    <w:div w:id="150753089">
      <w:bodyDiv w:val="1"/>
      <w:marLeft w:val="0"/>
      <w:marRight w:val="0"/>
      <w:marTop w:val="0"/>
      <w:marBottom w:val="0"/>
      <w:divBdr>
        <w:top w:val="none" w:sz="0" w:space="0" w:color="auto"/>
        <w:left w:val="none" w:sz="0" w:space="0" w:color="auto"/>
        <w:bottom w:val="none" w:sz="0" w:space="0" w:color="auto"/>
        <w:right w:val="none" w:sz="0" w:space="0" w:color="auto"/>
      </w:divBdr>
    </w:div>
    <w:div w:id="865748545">
      <w:bodyDiv w:val="1"/>
      <w:marLeft w:val="0"/>
      <w:marRight w:val="0"/>
      <w:marTop w:val="0"/>
      <w:marBottom w:val="0"/>
      <w:divBdr>
        <w:top w:val="none" w:sz="0" w:space="0" w:color="auto"/>
        <w:left w:val="none" w:sz="0" w:space="0" w:color="auto"/>
        <w:bottom w:val="none" w:sz="0" w:space="0" w:color="auto"/>
        <w:right w:val="none" w:sz="0" w:space="0" w:color="auto"/>
      </w:divBdr>
    </w:div>
    <w:div w:id="1455518065">
      <w:bodyDiv w:val="1"/>
      <w:marLeft w:val="0"/>
      <w:marRight w:val="0"/>
      <w:marTop w:val="0"/>
      <w:marBottom w:val="0"/>
      <w:divBdr>
        <w:top w:val="none" w:sz="0" w:space="0" w:color="auto"/>
        <w:left w:val="none" w:sz="0" w:space="0" w:color="auto"/>
        <w:bottom w:val="none" w:sz="0" w:space="0" w:color="auto"/>
        <w:right w:val="none" w:sz="0" w:space="0" w:color="auto"/>
      </w:divBdr>
    </w:div>
    <w:div w:id="198746488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18" Type="http://schemas.openxmlformats.org/officeDocument/2006/relationships/image" Target="media/image8.tiff"/><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7.tiff"/><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emf"/><Relationship Id="rId19" Type="http://schemas.openxmlformats.org/officeDocument/2006/relationships/image" Target="media/image9.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24EFC8-70DC-4B97-8A04-098CDAB16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5208</Words>
  <Characters>29686</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Analytical Validation Report - Single-Cell TCR-seq - Stanford University CIMAC</vt:lpstr>
    </vt:vector>
  </TitlesOfParts>
  <Company>Stanford</Company>
  <LinksUpToDate>false</LinksUpToDate>
  <CharactersWithSpaces>34825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Analytical Validation Report - Single-Cell TCR-seq - Stanford University CIMAC</dc:title>
  <dc:creator>Holden Maecker</dc:creator>
  <cp:lastModifiedBy>Kraken</cp:lastModifiedBy>
  <cp:revision>2</cp:revision>
  <cp:lastPrinted>2018-08-27T17:44:00Z</cp:lastPrinted>
  <dcterms:created xsi:type="dcterms:W3CDTF">2024-05-22T19:23:00Z</dcterms:created>
  <dcterms:modified xsi:type="dcterms:W3CDTF">2024-05-22T19:23:00Z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yleId">
    <vt:lpwstr>http://www.zotero.org/styles/the-journal-of-immunology</vt:lpwstr>
  </property>
  <property fmtid="{D5CDD505-2E9C-101B-9397-08002B2CF9AE}" pid="3" name="InsertAsFootnote">
    <vt:lpwstr>0</vt:lpwstr>
  </property>
</Properties>
</file>